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234B3208" w14:textId="77777777" w:rsidR="00B17D1E" w:rsidRPr="00B17D1E" w:rsidRDefault="00B17D1E" w:rsidP="00B17D1E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B17D1E">
        <w:rPr>
          <w:rFonts w:ascii="Times New Roman" w:hAnsi="Times New Roman"/>
          <w:b/>
          <w:sz w:val="28"/>
          <w:szCs w:val="28"/>
          <w:lang w:val="kk-KZ"/>
        </w:rPr>
        <w:t xml:space="preserve">«Салық салу объектілерін және (немесе) салық салуға байланысты объектілерді жанама әдіспен айқындау қағидаларын бекіту туралы» Қазақстан Республикасы Қаржы министрінің 2025 жылғы </w:t>
      </w:r>
    </w:p>
    <w:p w14:paraId="270F04DA" w14:textId="77777777" w:rsidR="00B17D1E" w:rsidRDefault="00B17D1E" w:rsidP="00B17D1E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B17D1E">
        <w:rPr>
          <w:rFonts w:ascii="Times New Roman" w:hAnsi="Times New Roman"/>
          <w:b/>
          <w:sz w:val="28"/>
          <w:szCs w:val="28"/>
          <w:lang w:val="kk-KZ"/>
        </w:rPr>
        <w:t>28 қазандағы № 631 бұйрығына өзгеріс енгізу туралы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14:paraId="1EBB72BD" w14:textId="595B8520" w:rsidR="00B17D1E" w:rsidRPr="005C375A" w:rsidRDefault="00B17D1E" w:rsidP="00B17D1E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5C375A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бұйрығына</w:t>
      </w:r>
    </w:p>
    <w:p w14:paraId="182D91EE" w14:textId="77777777" w:rsidR="00B17D1E" w:rsidRPr="005C375A" w:rsidRDefault="00B17D1E" w:rsidP="00B17D1E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5C375A">
        <w:rPr>
          <w:rFonts w:ascii="Times New Roman" w:hAnsi="Times New Roman"/>
          <w:b/>
          <w:sz w:val="28"/>
          <w:szCs w:val="28"/>
          <w:lang w:val="kk-KZ"/>
        </w:rPr>
        <w:t>САЛЫСТЫРМАЛЫ КЕСТЕ</w:t>
      </w:r>
    </w:p>
    <w:p w14:paraId="1820AD22" w14:textId="0EC728D6" w:rsidR="008D530B" w:rsidRPr="00C75FFC" w:rsidRDefault="008D530B" w:rsidP="00A545A4">
      <w:pPr>
        <w:tabs>
          <w:tab w:val="left" w:pos="9360"/>
        </w:tabs>
        <w:spacing w:after="0" w:line="240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</w:p>
    <w:p w14:paraId="473BE66A" w14:textId="6297F2CE" w:rsidR="00B201AE" w:rsidRPr="00C75FFC" w:rsidRDefault="00B201AE" w:rsidP="008D530B">
      <w:pPr>
        <w:tabs>
          <w:tab w:val="left" w:pos="9360"/>
        </w:tabs>
        <w:spacing w:after="0" w:line="240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4961"/>
        <w:gridCol w:w="4820"/>
        <w:gridCol w:w="3969"/>
      </w:tblGrid>
      <w:tr w:rsidR="00E92721" w:rsidRPr="008D4447" w14:paraId="5B48BD34" w14:textId="77777777" w:rsidTr="00A50DD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B12" w14:textId="77777777" w:rsidR="00E92721" w:rsidRPr="00C75FFC" w:rsidRDefault="00D23C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</w:p>
          <w:p w14:paraId="5CE4B8AF" w14:textId="77777777" w:rsidR="00E92721" w:rsidRPr="00C75FFC" w:rsidRDefault="00D23C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05CA" w14:textId="20598B8D" w:rsidR="00E92721" w:rsidRPr="00C75FFC" w:rsidRDefault="00B17D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C375A"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  <w:t>Нормативтік актінің құрылымдық элементі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E5A8" w14:textId="5774B30B" w:rsidR="00E92721" w:rsidRPr="00C75FFC" w:rsidRDefault="00B17D1E">
            <w:pPr>
              <w:spacing w:after="0" w:line="240" w:lineRule="auto"/>
              <w:ind w:firstLine="317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C375A"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  <w:t>Қолданыстағы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C0B" w14:textId="5770FD8C" w:rsidR="00E92721" w:rsidRPr="00C75FFC" w:rsidRDefault="00B17D1E" w:rsidP="00EC6D82">
            <w:pPr>
              <w:spacing w:after="0" w:line="240" w:lineRule="auto"/>
              <w:ind w:firstLine="28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C375A"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  <w:t>Ұсынылатын редакция</w:t>
            </w:r>
            <w:r w:rsidRPr="00C75FF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764" w14:textId="77777777" w:rsidR="00B17D1E" w:rsidRPr="005C375A" w:rsidRDefault="00B17D1E" w:rsidP="00B17D1E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</w:pPr>
            <w:r w:rsidRPr="005C375A"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  <w:t>Негіздеме:</w:t>
            </w:r>
          </w:p>
          <w:p w14:paraId="3A514820" w14:textId="2BFDFB54" w:rsidR="00E92721" w:rsidRPr="00B17D1E" w:rsidRDefault="00E92721" w:rsidP="00B17D1E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</w:pPr>
          </w:p>
        </w:tc>
      </w:tr>
      <w:tr w:rsidR="0032212B" w:rsidRPr="00C75FFC" w14:paraId="13FD8C42" w14:textId="77777777" w:rsidTr="00A50DD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D03" w14:textId="2BB962B3" w:rsidR="0032212B" w:rsidRPr="00C75FFC" w:rsidRDefault="003221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E7A5" w14:textId="2B057F17" w:rsidR="0032212B" w:rsidRPr="00C75FFC" w:rsidRDefault="003221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9304" w14:textId="43E7C80C" w:rsidR="0032212B" w:rsidRPr="00C75FFC" w:rsidRDefault="0032212B">
            <w:pPr>
              <w:spacing w:after="0" w:line="240" w:lineRule="auto"/>
              <w:ind w:firstLine="317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AD69" w14:textId="50B63D2A" w:rsidR="0032212B" w:rsidRPr="00C75FFC" w:rsidRDefault="0032212B" w:rsidP="00EC6D82">
            <w:pPr>
              <w:spacing w:after="0" w:line="240" w:lineRule="auto"/>
              <w:ind w:firstLine="284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E62" w14:textId="40574F01" w:rsidR="0032212B" w:rsidRPr="00C75FFC" w:rsidRDefault="005375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75FF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3A07EA" w:rsidRPr="00C75FFC" w14:paraId="48177605" w14:textId="77777777" w:rsidTr="00081AA5"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FCF0" w14:textId="77777777" w:rsidR="00A545A4" w:rsidRDefault="00A545A4" w:rsidP="003A1500">
            <w:pPr>
              <w:spacing w:after="0" w:line="240" w:lineRule="auto"/>
              <w:ind w:firstLine="318"/>
              <w:contextualSpacing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Салық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салу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объектілерін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және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немесе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)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салық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салуға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байланысты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объектілерді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жанама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әдіспен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14:paraId="15931EF6" w14:textId="44EA275D" w:rsidR="003A07EA" w:rsidRPr="00A545A4" w:rsidRDefault="00A545A4" w:rsidP="003A1500">
            <w:pPr>
              <w:spacing w:after="0" w:line="240" w:lineRule="auto"/>
              <w:ind w:firstLine="318"/>
              <w:contextualSpacing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val="ru-KZ" w:eastAsia="en-US"/>
              </w:rPr>
            </w:pP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айқындау</w:t>
            </w:r>
            <w:proofErr w:type="spellEnd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545A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қағидалары</w:t>
            </w:r>
            <w:proofErr w:type="spellEnd"/>
          </w:p>
        </w:tc>
      </w:tr>
      <w:tr w:rsidR="003B3166" w:rsidRPr="00C75FFC" w14:paraId="4F3689E4" w14:textId="77777777" w:rsidTr="00081AA5"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688C" w14:textId="4E5167ED" w:rsidR="003B3166" w:rsidRPr="003B3166" w:rsidRDefault="003B3166" w:rsidP="003B3166">
            <w:pPr>
              <w:pStyle w:val="af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175F2D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1-тарау. Жалпы ережелер</w:t>
            </w:r>
          </w:p>
        </w:tc>
      </w:tr>
      <w:tr w:rsidR="00AC5CB5" w:rsidRPr="003B3166" w14:paraId="589D9551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94FB" w14:textId="77777777" w:rsidR="00AC5CB5" w:rsidRPr="00C75FFC" w:rsidRDefault="00AC5CB5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8C0625C" w14:textId="7D4ABC1B" w:rsidR="00AC5CB5" w:rsidRPr="00A545A4" w:rsidRDefault="003B31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1</w:t>
            </w:r>
            <w:r w:rsidR="00A545A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proofErr w:type="spellStart"/>
            <w:r w:rsidR="00A545A4">
              <w:rPr>
                <w:rFonts w:ascii="Times New Roman" w:hAnsi="Times New Roman"/>
                <w:bCs/>
                <w:sz w:val="28"/>
                <w:szCs w:val="28"/>
              </w:rPr>
              <w:t>тарма</w:t>
            </w:r>
            <w:proofErr w:type="spellEnd"/>
            <w:r w:rsidR="00A545A4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6D6ACA50" w14:textId="77777777" w:rsidR="00A545A4" w:rsidRP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45A4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Pr="00A545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545A4">
              <w:rPr>
                <w:rFonts w:ascii="Times New Roman" w:hAnsi="Times New Roman"/>
                <w:sz w:val="28"/>
                <w:szCs w:val="28"/>
              </w:rPr>
              <w:t>Реcпубликасының</w:t>
            </w:r>
            <w:proofErr w:type="spellEnd"/>
          </w:p>
          <w:p w14:paraId="34E0518E" w14:textId="77777777" w:rsidR="00A545A4" w:rsidRP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45A4">
              <w:rPr>
                <w:rFonts w:ascii="Times New Roman" w:hAnsi="Times New Roman"/>
                <w:sz w:val="28"/>
                <w:szCs w:val="28"/>
              </w:rPr>
              <w:t>Қаржы</w:t>
            </w:r>
            <w:proofErr w:type="spellEnd"/>
            <w:r w:rsidRPr="00A545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545A4">
              <w:rPr>
                <w:rFonts w:ascii="Times New Roman" w:hAnsi="Times New Roman"/>
                <w:sz w:val="28"/>
                <w:szCs w:val="28"/>
              </w:rPr>
              <w:t>министрі</w:t>
            </w:r>
            <w:proofErr w:type="spellEnd"/>
          </w:p>
          <w:p w14:paraId="1CA57D0B" w14:textId="77777777" w:rsidR="00A545A4" w:rsidRP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45A4">
              <w:rPr>
                <w:rFonts w:ascii="Times New Roman" w:hAnsi="Times New Roman"/>
                <w:sz w:val="28"/>
                <w:szCs w:val="28"/>
              </w:rPr>
              <w:t xml:space="preserve">2025 </w:t>
            </w:r>
            <w:proofErr w:type="spellStart"/>
            <w:r w:rsidRPr="00A545A4">
              <w:rPr>
                <w:rFonts w:ascii="Times New Roman" w:hAnsi="Times New Roman"/>
                <w:sz w:val="28"/>
                <w:szCs w:val="28"/>
              </w:rPr>
              <w:t>жылғы</w:t>
            </w:r>
            <w:proofErr w:type="spellEnd"/>
            <w:r w:rsidRPr="00A545A4">
              <w:rPr>
                <w:rFonts w:ascii="Times New Roman" w:hAnsi="Times New Roman"/>
                <w:sz w:val="28"/>
                <w:szCs w:val="28"/>
              </w:rPr>
              <w:t xml:space="preserve"> 28 </w:t>
            </w:r>
            <w:proofErr w:type="spellStart"/>
            <w:r w:rsidRPr="00A545A4">
              <w:rPr>
                <w:rFonts w:ascii="Times New Roman" w:hAnsi="Times New Roman"/>
                <w:sz w:val="28"/>
                <w:szCs w:val="28"/>
              </w:rPr>
              <w:t>қазандағы</w:t>
            </w:r>
            <w:proofErr w:type="spellEnd"/>
          </w:p>
          <w:p w14:paraId="56374E86" w14:textId="027AE2D3" w:rsidR="00AC5CB5" w:rsidRP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545A4">
              <w:rPr>
                <w:rFonts w:ascii="Times New Roman" w:hAnsi="Times New Roman"/>
                <w:sz w:val="28"/>
                <w:szCs w:val="28"/>
              </w:rPr>
              <w:t xml:space="preserve">№ 631 </w:t>
            </w:r>
            <w:proofErr w:type="spellStart"/>
            <w:r w:rsidRPr="00A545A4">
              <w:rPr>
                <w:rFonts w:ascii="Times New Roman" w:hAnsi="Times New Roman"/>
                <w:sz w:val="28"/>
                <w:szCs w:val="28"/>
              </w:rPr>
              <w:t>бұйрығымен</w:t>
            </w:r>
            <w:proofErr w:type="spellEnd"/>
            <w:r w:rsidRPr="00A545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545A4">
              <w:rPr>
                <w:rFonts w:ascii="Times New Roman" w:hAnsi="Times New Roman"/>
                <w:sz w:val="28"/>
                <w:szCs w:val="28"/>
              </w:rPr>
              <w:t>бекітілген</w:t>
            </w:r>
            <w:proofErr w:type="spellEnd"/>
            <w:r w:rsidRPr="00A545A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14:paraId="22CC51C8" w14:textId="77777777" w:rsidR="00AC5CB5" w:rsidRPr="00A545A4" w:rsidRDefault="00AC5CB5" w:rsidP="003B3166">
            <w:pPr>
              <w:spacing w:after="0" w:line="240" w:lineRule="auto"/>
              <w:ind w:firstLine="318"/>
              <w:jc w:val="center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kk-KZ"/>
              </w:rPr>
            </w:pPr>
          </w:p>
          <w:p w14:paraId="436645A7" w14:textId="1903D809" w:rsidR="00A545A4" w:rsidRP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r w:rsidRPr="00A545A4"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  <w:t>Салық салу объектілерін және (немесе) салық салуға байланысты объектілерді жанама әдіспен</w:t>
            </w:r>
          </w:p>
          <w:p w14:paraId="39D77081" w14:textId="43839C93" w:rsid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proofErr w:type="spellStart"/>
            <w:r w:rsidRPr="00A545A4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айқындау</w:t>
            </w:r>
            <w:proofErr w:type="spellEnd"/>
            <w:r w:rsidRPr="00A545A4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sz w:val="28"/>
                <w:szCs w:val="28"/>
              </w:rPr>
              <w:t>қағидалары</w:t>
            </w:r>
            <w:proofErr w:type="spellEnd"/>
          </w:p>
          <w:p w14:paraId="11A48D1F" w14:textId="77777777" w:rsidR="00A545A4" w:rsidRP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0BB404E9" w14:textId="77777777" w:rsidR="00A545A4" w:rsidRPr="00A545A4" w:rsidRDefault="00A545A4" w:rsidP="003B3166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45A4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1-тарау. </w:t>
            </w:r>
            <w:proofErr w:type="spellStart"/>
            <w:r w:rsidRPr="00A545A4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Жалпы</w:t>
            </w:r>
            <w:proofErr w:type="spellEnd"/>
            <w:r w:rsidRPr="00A545A4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ережелер</w:t>
            </w:r>
            <w:proofErr w:type="spellEnd"/>
          </w:p>
          <w:p w14:paraId="1714EE17" w14:textId="77777777" w:rsidR="00AC5CB5" w:rsidRPr="00A545A4" w:rsidRDefault="00AC5CB5" w:rsidP="003B3166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r w:rsidRPr="00A545A4"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  <w:t xml:space="preserve">. . . </w:t>
            </w:r>
          </w:p>
          <w:p w14:paraId="1A11E7FB" w14:textId="77777777" w:rsidR="003B3166" w:rsidRDefault="003B3166" w:rsidP="003B3166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66F95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 </w:t>
            </w:r>
            <w:r w:rsidRPr="00966F9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Осы Салық салу объектілерін және (немесе) салық салуға байланысты объектілерді жанама әдіспен айқындау қағидалары (бұдан әрі – Қағидалар) Қазақстан Республикасы Салық кодексінің (бұдан әрі – Салық кодексі)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</w:t>
            </w:r>
            <w:r w:rsidRPr="00966F95">
              <w:rPr>
                <w:rFonts w:ascii="Times New Roman" w:hAnsi="Times New Roman"/>
                <w:sz w:val="28"/>
                <w:szCs w:val="28"/>
                <w:lang w:val="kk-KZ"/>
              </w:rPr>
              <w:t>173-бабының 5-тармағына сәйкес әзірленген және мемлекеттік кірістер органдарының жеке тұлғалардың салық салу объектілерін және (немесе) салық салуға байланысты объектілерін (бұдан әрі – Объектілер) жанама әдіспен айқындау тәртібін айқындайды.</w:t>
            </w:r>
          </w:p>
          <w:p w14:paraId="24C495C4" w14:textId="49213598" w:rsidR="00A545A4" w:rsidRPr="00A545A4" w:rsidRDefault="00A545A4" w:rsidP="003B3166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.</w:t>
            </w:r>
          </w:p>
          <w:p w14:paraId="478A42F5" w14:textId="3BB38706" w:rsidR="00AC5CB5" w:rsidRPr="00A545A4" w:rsidRDefault="00AC5CB5" w:rsidP="003B3166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</w:p>
        </w:tc>
        <w:tc>
          <w:tcPr>
            <w:tcW w:w="4820" w:type="dxa"/>
          </w:tcPr>
          <w:p w14:paraId="79AF721E" w14:textId="77777777" w:rsidR="00A545A4" w:rsidRPr="003B3166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8"/>
                <w:szCs w:val="28"/>
                <w:lang w:val="ru-KZ"/>
              </w:rPr>
            </w:pPr>
            <w:proofErr w:type="spellStart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lastRenderedPageBreak/>
              <w:t>Қазақстан</w:t>
            </w:r>
            <w:proofErr w:type="spellEnd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>Реcпубликасының</w:t>
            </w:r>
            <w:proofErr w:type="spellEnd"/>
          </w:p>
          <w:p w14:paraId="5AB9E354" w14:textId="77777777" w:rsidR="00A545A4" w:rsidRPr="003B3166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8"/>
                <w:szCs w:val="28"/>
                <w:lang w:val="ru-KZ"/>
              </w:rPr>
            </w:pPr>
            <w:proofErr w:type="spellStart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>Қаржы</w:t>
            </w:r>
            <w:proofErr w:type="spellEnd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>министрі</w:t>
            </w:r>
            <w:proofErr w:type="spellEnd"/>
          </w:p>
          <w:p w14:paraId="2853063A" w14:textId="77777777" w:rsidR="00A545A4" w:rsidRPr="003B3166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8"/>
                <w:szCs w:val="28"/>
                <w:lang w:val="ru-KZ"/>
              </w:rPr>
            </w:pPr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2025 </w:t>
            </w:r>
            <w:proofErr w:type="spellStart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>жылғы</w:t>
            </w:r>
            <w:proofErr w:type="spellEnd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28 </w:t>
            </w:r>
            <w:proofErr w:type="spellStart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>қазандағы</w:t>
            </w:r>
            <w:proofErr w:type="spellEnd"/>
          </w:p>
          <w:p w14:paraId="262A0E77" w14:textId="10F1CD48" w:rsidR="00AC5CB5" w:rsidRPr="003B3166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8"/>
                <w:szCs w:val="28"/>
                <w:lang w:val="ru-KZ"/>
              </w:rPr>
            </w:pPr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№ 631 </w:t>
            </w:r>
            <w:proofErr w:type="spellStart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>бұйрығымен</w:t>
            </w:r>
            <w:proofErr w:type="spellEnd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>бекітілген</w:t>
            </w:r>
            <w:proofErr w:type="spellEnd"/>
            <w:r w:rsidRPr="003B3166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</w:p>
          <w:p w14:paraId="3679B6FC" w14:textId="77777777" w:rsidR="00AC5CB5" w:rsidRPr="003B3166" w:rsidRDefault="00AC5CB5" w:rsidP="003B3166">
            <w:pPr>
              <w:spacing w:after="0" w:line="240" w:lineRule="auto"/>
              <w:ind w:firstLine="318"/>
              <w:jc w:val="center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</w:p>
          <w:p w14:paraId="44480EF9" w14:textId="77777777" w:rsidR="00A545A4" w:rsidRP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r w:rsidRPr="00A545A4"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  <w:t>Салық салу объектілерін және (немесе) салық салуға байланысты объектілерді жанама әдіспен</w:t>
            </w:r>
          </w:p>
          <w:p w14:paraId="1B733A14" w14:textId="77777777" w:rsid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proofErr w:type="spellStart"/>
            <w:r w:rsidRPr="00A545A4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айқындау</w:t>
            </w:r>
            <w:proofErr w:type="spellEnd"/>
            <w:r w:rsidRPr="00A545A4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sz w:val="28"/>
                <w:szCs w:val="28"/>
              </w:rPr>
              <w:t>қағидалары</w:t>
            </w:r>
            <w:proofErr w:type="spellEnd"/>
          </w:p>
          <w:p w14:paraId="2DA9CF9F" w14:textId="77777777" w:rsidR="00A545A4" w:rsidRPr="00A545A4" w:rsidRDefault="00A545A4" w:rsidP="003B3166">
            <w:pPr>
              <w:spacing w:after="0" w:line="240" w:lineRule="auto"/>
              <w:ind w:firstLine="318"/>
              <w:jc w:val="center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288AF69F" w14:textId="77777777" w:rsidR="00A545A4" w:rsidRPr="00A545A4" w:rsidRDefault="00A545A4" w:rsidP="003B3166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45A4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1-тарау. </w:t>
            </w:r>
            <w:proofErr w:type="spellStart"/>
            <w:r w:rsidRPr="00A545A4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Жалпы</w:t>
            </w:r>
            <w:proofErr w:type="spellEnd"/>
            <w:r w:rsidRPr="00A545A4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ережелер</w:t>
            </w:r>
            <w:proofErr w:type="spellEnd"/>
          </w:p>
          <w:p w14:paraId="0FF59379" w14:textId="77777777" w:rsidR="00E81E1B" w:rsidRPr="00A545A4" w:rsidRDefault="00AC5CB5" w:rsidP="003B3166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r w:rsidRPr="00A545A4"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  <w:t xml:space="preserve">. . . </w:t>
            </w:r>
          </w:p>
          <w:p w14:paraId="6EE2FBF9" w14:textId="77777777" w:rsidR="003B3166" w:rsidRDefault="003B3166" w:rsidP="003B3166">
            <w:pPr>
              <w:pStyle w:val="af5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66F95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 </w:t>
            </w:r>
            <w:r w:rsidRPr="00966F9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Осы Салық салу объектілерін және (немесе) салық салуға байланысты объектілерді жанама әдіспен айқындау қағидалары (бұдан әрі – Қағидалар) Қазақстан Республикасы Салық кодексінің (бұдан әрі – Салық кодексі)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</w:t>
            </w:r>
            <w:r w:rsidRPr="00966F95">
              <w:rPr>
                <w:rFonts w:ascii="Times New Roman" w:hAnsi="Times New Roman"/>
                <w:sz w:val="28"/>
                <w:szCs w:val="28"/>
                <w:lang w:val="kk-KZ"/>
              </w:rPr>
              <w:t>173-бабының 5-тармағына сәйкес әзірленген және мемлекеттік кірістер органдарының жеке тұлғалардың салық салу объектілерін және (немесе) салық салуға байланысты объектілерін (бұдан әрі – Объектілер) жанама әдіспен айқындау тәртібін айқындайды.</w:t>
            </w:r>
          </w:p>
          <w:p w14:paraId="1E377B2F" w14:textId="5C0D084D" w:rsidR="00AC5CB5" w:rsidRPr="00A545A4" w:rsidRDefault="00AC5CB5" w:rsidP="003B316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14:paraId="621DCEEF" w14:textId="77777777" w:rsidR="00AC5CB5" w:rsidRPr="00A545A4" w:rsidRDefault="00AC5CB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759D5C9C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07B3F867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1174F06A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4BF28EE2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11ABFBF1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56E7CC92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2F81ED3B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35351CDF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38175C84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3B1AD753" w14:textId="77777777" w:rsidR="00AB3055" w:rsidRPr="00A545A4" w:rsidRDefault="00AB3055" w:rsidP="00C02F06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</w:p>
          <w:p w14:paraId="517D8D2B" w14:textId="72969CB3" w:rsidR="00AB3055" w:rsidRPr="003B3166" w:rsidRDefault="003B3166" w:rsidP="003B3166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  <w:t>Өзгеріссіз</w:t>
            </w:r>
          </w:p>
        </w:tc>
      </w:tr>
      <w:tr w:rsidR="003B3166" w:rsidRPr="008D4447" w14:paraId="21B5126A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8C53" w14:textId="77777777" w:rsidR="003B3166" w:rsidRPr="00C75FFC" w:rsidRDefault="003B3166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2E51535" w14:textId="6E3AE673" w:rsidR="003B3166" w:rsidRDefault="003B31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2-тарма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25CDB15F" w14:textId="77777777" w:rsidR="003B3166" w:rsidRPr="00A545A4" w:rsidRDefault="003B3166" w:rsidP="003B3166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2.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Салық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кодексінің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173-бабы </w:t>
            </w:r>
            <w:hyperlink r:id="rId8" w:anchor="z3037" w:history="1">
              <w:r w:rsidRPr="00A545A4">
                <w:rPr>
                  <w:rStyle w:val="a4"/>
                  <w:rFonts w:ascii="Times New Roman" w:eastAsiaTheme="majorEastAsia" w:hAnsi="Times New Roman"/>
                  <w:b/>
                  <w:bCs/>
                  <w:color w:val="auto"/>
                  <w:sz w:val="28"/>
                  <w:szCs w:val="28"/>
                  <w:u w:val="none"/>
                  <w:lang w:val="ru-KZ"/>
                </w:rPr>
                <w:t>1-тармағының</w:t>
              </w:r>
            </w:hyperlink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бірінші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бөлігіне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сәйкес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активтерді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мүлікті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міндеттемелерді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кірістерді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айналымды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шығындарды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бағалау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сондай-ақ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басқа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да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бағалау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негізінде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жанама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әдіспен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айқындау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мынадай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:</w:t>
            </w:r>
          </w:p>
          <w:p w14:paraId="5F1A4993" w14:textId="77777777" w:rsidR="003B3166" w:rsidRPr="00A545A4" w:rsidRDefault="003B3166" w:rsidP="003B3166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lastRenderedPageBreak/>
              <w:t xml:space="preserve">1)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есепке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алуды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жүргізу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тәртібінің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бұзылуы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;</w:t>
            </w:r>
          </w:p>
          <w:p w14:paraId="0E8571DC" w14:textId="77777777" w:rsidR="003B3166" w:rsidRPr="00A545A4" w:rsidRDefault="003B3166" w:rsidP="003B3166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2)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есепке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алу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құжаттамасының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жоғалуы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немесе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жойылуы</w:t>
            </w:r>
            <w:proofErr w:type="spellEnd"/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.</w:t>
            </w:r>
          </w:p>
          <w:p w14:paraId="196B6FEB" w14:textId="77777777" w:rsidR="003B3166" w:rsidRPr="003B3166" w:rsidRDefault="003B3166" w:rsidP="003B3166">
            <w:pPr>
              <w:spacing w:after="0" w:line="240" w:lineRule="auto"/>
              <w:ind w:firstLine="317"/>
              <w:rPr>
                <w:rFonts w:ascii="Times New Roman" w:hAnsi="Times New Roman"/>
                <w:sz w:val="28"/>
                <w:szCs w:val="28"/>
                <w:lang w:val="ru-KZ"/>
              </w:rPr>
            </w:pPr>
          </w:p>
        </w:tc>
        <w:tc>
          <w:tcPr>
            <w:tcW w:w="4820" w:type="dxa"/>
          </w:tcPr>
          <w:p w14:paraId="49B13FCB" w14:textId="7BF1B69A" w:rsidR="003B3166" w:rsidRPr="003B3166" w:rsidRDefault="003B3166" w:rsidP="003B3166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val="ru-KZ"/>
              </w:rPr>
            </w:pPr>
            <w:r w:rsidRPr="00A545A4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kk-KZ"/>
              </w:rPr>
              <w:lastRenderedPageBreak/>
              <w:t>2.</w:t>
            </w:r>
            <w:r w:rsidRPr="00A545A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A545A4">
              <w:rPr>
                <w:lang w:val="kk-KZ"/>
              </w:rPr>
              <w:t xml:space="preserve"> </w:t>
            </w:r>
            <w:r w:rsidRPr="00A545A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Салық салуға жататын жеке тұлғаның кірісін жанама әдіспен айқындау Салық кодексінің 173-бабының 4-тармағына сәйкес жеке тұлғаның салық декларацияларында көрсетілген мәліметтер бойынша, сондай-ақ жеке табыс салығы бойынша </w:t>
            </w:r>
            <w:r w:rsidRPr="00A545A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салықтық міндеттеменің пайда болуына алып келетін уәкілетті органдар (ұйымдар) мен үшінші тұлғалардың деректері бойынша жеке тұлғаға қатысты салықтық әкімшілендіруді жүзеге асыру барысында қолданылады.</w:t>
            </w:r>
          </w:p>
        </w:tc>
        <w:tc>
          <w:tcPr>
            <w:tcW w:w="3969" w:type="dxa"/>
          </w:tcPr>
          <w:p w14:paraId="69DF27B3" w14:textId="4AAEDA6E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>Түзету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Қазақстан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Республикасының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173-бабының 4-тармағына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сәйкес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келтіру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мақсатында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енгізіледі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аталған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нормада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әкімшілендіру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барысында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тұлғалардың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>әдіспен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ерекшеліктері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белгіленген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59955DFA" w14:textId="7533436E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сәйкес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тұлғаларға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қатысты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әдіс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декларацияларында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мәліметтерге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сондай-ақ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табыс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салығы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бойынша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міндеттеменің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туындауына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әкеп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соғатын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уәкілетті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ұйымдардың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деректеріне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негізделе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отырып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қолданылады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2FE93C25" w14:textId="653DF5F4" w:rsidR="003B3166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Осыған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байланысты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әдісті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қолдану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негіздерін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нақтылау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2-тармақты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173-бабында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тұлғалардың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анықтау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тәртібін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ескере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отырып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жаңа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редакцияда</w:t>
            </w:r>
            <w:proofErr w:type="spellEnd"/>
            <w:r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жазу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ұсынылады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</w:tc>
      </w:tr>
      <w:tr w:rsidR="003B4FB9" w:rsidRPr="00C75FFC" w14:paraId="6C4EBAA6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9FB0" w14:textId="77777777" w:rsidR="003B4FB9" w:rsidRPr="00DF0532" w:rsidRDefault="003B4FB9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  <w:lang w:val="ru-KZ"/>
              </w:rPr>
            </w:pPr>
          </w:p>
        </w:tc>
        <w:tc>
          <w:tcPr>
            <w:tcW w:w="1134" w:type="dxa"/>
          </w:tcPr>
          <w:p w14:paraId="77EDFB80" w14:textId="35D4A56F" w:rsidR="003B4FB9" w:rsidRPr="00C75FFC" w:rsidRDefault="003A75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3-тарма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7F394054" w14:textId="0BC78D84" w:rsidR="004D49BF" w:rsidRPr="00C75FFC" w:rsidRDefault="004D49BF" w:rsidP="004D49B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3. </w:t>
            </w:r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Осы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Қағидалар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дара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кәсіпкер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ретінде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тіркеу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есебінде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тұрмайтын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жеке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тұлғаларға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жеке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практикамен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айналысатын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адамдарға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қатысты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олардың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қызметін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жүзеге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асырған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кезеңде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қолданылады</w:t>
            </w:r>
            <w:proofErr w:type="spellEnd"/>
            <w:r w:rsidR="003A759B" w:rsidRPr="003A759B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.</w:t>
            </w:r>
          </w:p>
          <w:p w14:paraId="7FD65229" w14:textId="77777777" w:rsidR="003B4FB9" w:rsidRPr="00C75FFC" w:rsidRDefault="003B4FB9" w:rsidP="004D49BF">
            <w:pPr>
              <w:spacing w:after="0" w:line="240" w:lineRule="auto"/>
              <w:ind w:firstLine="31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1E15F5A" w14:textId="650969FE" w:rsidR="004D49BF" w:rsidRPr="00C75FFC" w:rsidRDefault="004D49BF" w:rsidP="004D49BF">
            <w:pPr>
              <w:pStyle w:val="af5"/>
              <w:suppressAutoHyphens w:val="0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bookmarkStart w:id="0" w:name="_Hlk219130096"/>
            <w:r w:rsidR="003A759B"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Егер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жеке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тұлғаның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салық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декларацияларында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көрсетілген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кірістері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мемлекеттік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немесе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өзге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тіркеуге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жататын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мүлікті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сондай-ақ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құқықтары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және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немесе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мәмілелері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Қазақстан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Республикасында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және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оның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шегінен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тысқары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жерлерде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мемлекеттік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немесе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өзге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тіркеуге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жататын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мүлікті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сатып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алуға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жұмсалған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шығыстардан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аз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болса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салық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органдары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Салық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кодексінің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173-бабының 5-тармағына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сәйкес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жеке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тұлғалардың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кірістері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мен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мүлкін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салықтық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әкімшілендіруді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жүзеге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асыру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барысында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жеке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тұлғаның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кірісін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айқындаудың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жанама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әдісін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қолдануға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құқылы</w:t>
            </w:r>
            <w:proofErr w:type="spellEnd"/>
            <w:r w:rsidR="003A759B" w:rsidRPr="003A759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bookmarkEnd w:id="0"/>
          <w:p w14:paraId="5C1AE80D" w14:textId="154FCFBE" w:rsidR="003B4FB9" w:rsidRPr="00C75FFC" w:rsidRDefault="003B4FB9" w:rsidP="004D49BF">
            <w:pPr>
              <w:pStyle w:val="af5"/>
              <w:suppressAutoHyphens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47D0849E" w14:textId="62C5624E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Түзету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Қазақстан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Республикасының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173-бабының 5-тармағының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бірінші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бөлігіне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сәйкес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келтіру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мақсатында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енгізіледі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аталған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нормада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тұлғаның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кірісін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әдіспен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айқындауды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қолданудың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негізі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ретінде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мүлікті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сатып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алуға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жұмсалған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шығыстардың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декларацияларында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көрсетілген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кірістерден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асып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түсуі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белгіленген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.</w:t>
            </w:r>
          </w:p>
          <w:p w14:paraId="33ECA0B2" w14:textId="2AB45248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3-тармақтың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қолданыстағы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редакциясы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ережелерін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ескере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отырып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әдісті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қолдану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құқығы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туындайтын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тұлғалар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шеңберін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нақтылауды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талап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етеді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.</w:t>
            </w:r>
          </w:p>
          <w:p w14:paraId="0F452FFD" w14:textId="17DD9546" w:rsidR="003B4FB9" w:rsidRPr="00C75FFC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Ұсынылып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отырған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редакция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тұлғалардың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кірістері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мен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мүлкін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салықтық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әкімшілендіру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барысында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173-бабы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нормаларын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біркелкі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қолдануды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қамтамасыз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етеді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.</w:t>
            </w:r>
          </w:p>
        </w:tc>
      </w:tr>
      <w:tr w:rsidR="00554F3F" w:rsidRPr="00C75FFC" w14:paraId="16F1FF87" w14:textId="77777777" w:rsidTr="00081AA5">
        <w:trPr>
          <w:trHeight w:val="132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F72FD0" w14:textId="73336AE9" w:rsidR="00554F3F" w:rsidRPr="001A12E8" w:rsidRDefault="001A12E8" w:rsidP="001A12E8">
            <w:pPr>
              <w:ind w:firstLine="709"/>
              <w:jc w:val="center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lastRenderedPageBreak/>
              <w:t xml:space="preserve">2-тарау. </w:t>
            </w:r>
            <w:proofErr w:type="spellStart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жанама</w:t>
            </w:r>
            <w:proofErr w:type="spellEnd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әдіспен</w:t>
            </w:r>
            <w:proofErr w:type="spellEnd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айқындау</w:t>
            </w:r>
            <w:proofErr w:type="spellEnd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1A12E8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тәртібі</w:t>
            </w:r>
            <w:proofErr w:type="spellEnd"/>
          </w:p>
        </w:tc>
      </w:tr>
      <w:tr w:rsidR="00554F3F" w:rsidRPr="00C75FFC" w14:paraId="5B4C9891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BEC3" w14:textId="77777777" w:rsidR="00554F3F" w:rsidRPr="00C75FFC" w:rsidRDefault="00554F3F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6C4616" w14:textId="05A20A40" w:rsidR="00554F3F" w:rsidRPr="00C75FFC" w:rsidRDefault="003F33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4-тарма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58ADB4DF" w14:textId="7F2C5C96" w:rsidR="00BB11EF" w:rsidRPr="00BB11EF" w:rsidRDefault="00A60C67" w:rsidP="00BB11E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C75FFC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4.</w:t>
            </w:r>
            <w:r w:rsid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Мемлекеттік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кірістер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органдары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жеке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тұлғаның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кірісін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жанама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әдіспен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айқындаудың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мынадай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тәсілдерін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қолданады</w:t>
            </w:r>
            <w:proofErr w:type="spellEnd"/>
            <w:r w:rsidR="00BB11EF"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:</w:t>
            </w:r>
          </w:p>
          <w:p w14:paraId="0423BBD1" w14:textId="226295E8" w:rsidR="00BB11EF" w:rsidRPr="00BB11EF" w:rsidRDefault="00BB11EF" w:rsidP="00BB11E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1)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активтер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құнының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өсімі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әдісі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;</w:t>
            </w:r>
          </w:p>
          <w:p w14:paraId="69E90662" w14:textId="77777777" w:rsidR="00BB11EF" w:rsidRPr="00BB11EF" w:rsidRDefault="00BB11EF" w:rsidP="00BB11E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</w:p>
          <w:p w14:paraId="2BA6C60E" w14:textId="3B1DBB86" w:rsidR="00BB11EF" w:rsidRPr="00BB11EF" w:rsidRDefault="00BB11EF" w:rsidP="00BB11E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2)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шығындарды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есепке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алу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әдісі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;</w:t>
            </w:r>
          </w:p>
          <w:p w14:paraId="1750258D" w14:textId="77777777" w:rsidR="00554F3F" w:rsidRDefault="00BB11EF" w:rsidP="00BB11E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3)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банктік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шоттардағы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қозғалысты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есепке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алу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әдісі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.</w:t>
            </w:r>
          </w:p>
          <w:p w14:paraId="38C98E96" w14:textId="3C2A4D0B" w:rsidR="00BB11EF" w:rsidRPr="00C75FFC" w:rsidRDefault="00BB11EF" w:rsidP="00BB11EF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Бұл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ретте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жеке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тұлғаның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кірісін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жанама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әдіспен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айқындау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кезінде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Қағидалардың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осы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тармағының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бірінші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бөлігінде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көрсетілген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әдістердің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комбинациясын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қолдануға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жол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беріледі</w:t>
            </w:r>
            <w:proofErr w:type="spellEnd"/>
            <w:r w:rsidRPr="00BB11EF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14:paraId="276FED1B" w14:textId="59F06554" w:rsidR="00554F3F" w:rsidRPr="00C75FFC" w:rsidRDefault="00A60C67" w:rsidP="004D49BF">
            <w:pPr>
              <w:pStyle w:val="af5"/>
              <w:suppressAutoHyphens w:val="0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5F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</w:t>
            </w:r>
            <w:r w:rsid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Мемлекеттік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кірістер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органдары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уәкілетті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органдардың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мәліметтері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сондай-ақ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кірістер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мен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мүлік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туралы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декларацияда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көрсетілген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мәліметтер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негізінде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Қазақстан</w:t>
            </w:r>
            <w:proofErr w:type="spellEnd"/>
            <w:proofErr w:type="gram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Республикасында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және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оның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шегінен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тысқары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жерлерде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мемлекеттік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немесе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өзге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тіркеуге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жататын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мүлікті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сатып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алуға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жеке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тұлғаның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жұмсаған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шығыс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бөлігін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айқындайды</w:t>
            </w:r>
            <w:proofErr w:type="spellEnd"/>
            <w:r w:rsidR="00BB11EF" w:rsidRPr="00BB11E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3B4D3B7D" w14:textId="27110854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Түзету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Қазақстан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Республикасының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173-бабының 4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және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5-тармақтарына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сәйкес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келтіру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мақсатында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енгізіледі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.</w:t>
            </w:r>
          </w:p>
          <w:p w14:paraId="3CFFD285" w14:textId="4426FEFD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lastRenderedPageBreak/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173-бабында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тұлғаларға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қатысты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әдісті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қолдану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мүлікті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сатып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алуға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жұмсалған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шығыстарды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декларацияларында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көрсетілген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кірістермен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салыстыру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арқылы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сондай-ақ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уәкілетті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органдар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мен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өзге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де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дереккөздерден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алынған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мәліметтерді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пайдалану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жолымен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жүзеге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асырылатыны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айқындалған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.</w:t>
            </w:r>
          </w:p>
          <w:p w14:paraId="0BE7EBC5" w14:textId="3D3C0F62" w:rsidR="00364641" w:rsidRPr="00C75FFC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Осыған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байланысты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4-тармақтың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мазмұнын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нақтылау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және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оны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кодексінде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белгіленген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тұлғаның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кірісін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әдіспен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айқындау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тәртібін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атап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айтқанда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мемлекеттік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немесе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өзге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де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тіркеуге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жататын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мүлікті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сатып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алуға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жұмсалған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шығыстарды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айқындаудан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басталатын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тәртіпті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көрсететін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редакцияда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баяндау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ұсынылады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</w:rPr>
              <w:t>.</w:t>
            </w:r>
          </w:p>
        </w:tc>
      </w:tr>
      <w:tr w:rsidR="00364641" w:rsidRPr="008D4447" w14:paraId="6439CCDB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F5AC" w14:textId="77777777" w:rsidR="00364641" w:rsidRPr="00C75FFC" w:rsidRDefault="00364641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1838107" w14:textId="2C55E32E" w:rsidR="00364641" w:rsidRPr="00C75FFC" w:rsidRDefault="003F33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5-тарма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1C8FD8F1" w14:textId="77777777" w:rsidR="00FD7A2E" w:rsidRPr="00FD7A2E" w:rsidRDefault="00FD7A2E" w:rsidP="00FD7A2E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5. Жеке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тұлғаның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кірісін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жанама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әдіспен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айқындау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мынадай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кезеңдерден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тұрады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:</w:t>
            </w:r>
          </w:p>
          <w:p w14:paraId="55825623" w14:textId="682B69BB" w:rsidR="00FD7A2E" w:rsidRPr="00FD7A2E" w:rsidRDefault="00FD7A2E" w:rsidP="00FD7A2E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1)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айқындау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;</w:t>
            </w:r>
          </w:p>
          <w:p w14:paraId="042F6C96" w14:textId="64840B84" w:rsidR="00FD7A2E" w:rsidRPr="00FD7A2E" w:rsidRDefault="00FD7A2E" w:rsidP="00FD7A2E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2)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бағалау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;</w:t>
            </w:r>
          </w:p>
          <w:p w14:paraId="2A65713D" w14:textId="38BAA5F7" w:rsidR="00FD7A2E" w:rsidRPr="00FD7A2E" w:rsidRDefault="00FD7A2E" w:rsidP="00FD7A2E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3)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жеке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тұлғаның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кірісін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есептеу</w:t>
            </w:r>
            <w:proofErr w:type="spellEnd"/>
            <w:r w:rsidRPr="00FD7A2E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  <w:t>.</w:t>
            </w:r>
          </w:p>
          <w:p w14:paraId="0CF9D692" w14:textId="77777777" w:rsidR="00364641" w:rsidRPr="00FD7A2E" w:rsidRDefault="00364641" w:rsidP="00A60C67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ru-KZ"/>
              </w:rPr>
            </w:pPr>
          </w:p>
        </w:tc>
        <w:tc>
          <w:tcPr>
            <w:tcW w:w="4820" w:type="dxa"/>
          </w:tcPr>
          <w:p w14:paraId="13A2B5E9" w14:textId="5F7C107E" w:rsidR="00C75FFC" w:rsidRPr="00FD7A2E" w:rsidRDefault="002C113E" w:rsidP="00C75FFC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val="ru-KZ"/>
              </w:rPr>
            </w:pPr>
            <w:r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5. </w:t>
            </w:r>
            <w:r w:rsidR="00FD7A2E" w:rsidRPr="00FD7A2E">
              <w:rPr>
                <w:lang w:val="ru-KZ"/>
              </w:rPr>
              <w:t xml:space="preserve"> </w:t>
            </w:r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Жеке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тұлғаның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мүлікті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сатып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алуға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жұмсаған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шығыс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бөлігі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айқындалғаннан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кейін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мемлекеттік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кірістер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органдары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Қазақстан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Республикасы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Салық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кодексінің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3-тарауының 3-параграфына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сәйкес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Уәкілетті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мемлекеттік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органдармен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,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жергілікті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атқарушы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органдармен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және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өзге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де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тұлғалармен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өзара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іс-қимыл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жасау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шеңберінде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алынған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мәліметтер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,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активтер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міндеттемелер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туралы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,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кірістер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мүлік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туралы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декларациялардағы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,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сондай-ақ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салық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агенттері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ұсынған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декларациялардағы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мәліметтер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негізінде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жеке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тұлғаның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кіріс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бөлігін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айқындайды</w:t>
            </w:r>
            <w:proofErr w:type="spellEnd"/>
            <w:r w:rsidR="00FD7A2E" w:rsidRPr="00FD7A2E">
              <w:rPr>
                <w:rFonts w:ascii="Times New Roman" w:hAnsi="Times New Roman"/>
                <w:b/>
                <w:sz w:val="28"/>
                <w:szCs w:val="28"/>
                <w:lang w:val="ru-KZ"/>
              </w:rPr>
              <w:t>.</w:t>
            </w:r>
          </w:p>
          <w:p w14:paraId="101367A1" w14:textId="64296809" w:rsidR="002C113E" w:rsidRPr="00FD7A2E" w:rsidRDefault="002C113E" w:rsidP="002C113E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val="ru-KZ"/>
              </w:rPr>
            </w:pPr>
          </w:p>
          <w:p w14:paraId="67A94E2B" w14:textId="77777777" w:rsidR="00364641" w:rsidRPr="00FD7A2E" w:rsidRDefault="00364641" w:rsidP="004D49BF">
            <w:pPr>
              <w:pStyle w:val="af5"/>
              <w:suppressAutoHyphens w:val="0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  <w:lang w:val="ru-KZ"/>
              </w:rPr>
            </w:pPr>
          </w:p>
        </w:tc>
        <w:tc>
          <w:tcPr>
            <w:tcW w:w="3969" w:type="dxa"/>
          </w:tcPr>
          <w:p w14:paraId="7A9B96C6" w14:textId="1D3604A6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Түзету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Қазақстан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Республикасының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173-бабына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сәйкес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әдіспен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тәртібін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нақтылау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мақсатында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енгізіледі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59605EED" w14:textId="3C5D065B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мүлікті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жұмсаған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шығыстарын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декларацияларында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кірістермен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салыстыру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кейіннен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расталған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көздер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негізінде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бөлігін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тетігі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белгіленген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7DCBBA34" w14:textId="57C9B7C9" w:rsidR="00FB0BF6" w:rsidRPr="00FB0BF6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Осыған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байланысты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5-тармақты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әдіспен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кезінде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жүзеге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асыратын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іс-қимылдардың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нақты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реттілігін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көрсететін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артық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кезеңдік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бөлініссіз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редакцияда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баяндау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ұсынылады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6528AB20" w14:textId="2A223804" w:rsidR="00364641" w:rsidRPr="00FB0BF6" w:rsidRDefault="00364641" w:rsidP="00F52FF0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</w:p>
        </w:tc>
      </w:tr>
      <w:tr w:rsidR="00A50DD5" w:rsidRPr="008D4447" w14:paraId="20A4C55A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1195" w14:textId="77777777" w:rsidR="00A50DD5" w:rsidRPr="00C75FFC" w:rsidRDefault="00A50DD5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3DA6528" w14:textId="6B9A27E5" w:rsidR="00A50DD5" w:rsidRPr="00A50DD5" w:rsidRDefault="00A50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тарма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4C679C2D" w14:textId="3D6D65B4" w:rsidR="00A50DD5" w:rsidRPr="00A50DD5" w:rsidRDefault="00A50DD5" w:rsidP="00FD7A2E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6.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173-бабының                          2-тармағына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сәйкес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әдіс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негізінде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кезінде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өнім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берушілері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алушылары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ішінде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әкімшілендіру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бойынша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өзара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іс-қимыл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шеңберінде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алынған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сондай-ақ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бақылауды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кедендік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бақылаудың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де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нысандары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нәтижесінде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алынған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мәліметтерді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пайдаланады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</w:tc>
        <w:tc>
          <w:tcPr>
            <w:tcW w:w="4820" w:type="dxa"/>
          </w:tcPr>
          <w:p w14:paraId="3DDF52B9" w14:textId="398E718A" w:rsidR="00A50DD5" w:rsidRPr="00FD7A2E" w:rsidRDefault="00A50DD5" w:rsidP="00C75FFC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6.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173-бабының                          2-тармағына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сәйкес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әдіс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негізінде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кезінде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өнім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берушілері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алушылары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ішінде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әкімшілендіру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бойынша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өзара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іс-қимыл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шеңберінде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алынған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сондай-ақ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бақылауды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кедендік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бақылаудың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де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нысандары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нәтижесінде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алынған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мәліметтерді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пайдаланады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</w:tc>
        <w:tc>
          <w:tcPr>
            <w:tcW w:w="3969" w:type="dxa"/>
          </w:tcPr>
          <w:p w14:paraId="3B755E05" w14:textId="29487D36" w:rsidR="00A50DD5" w:rsidRPr="00A50DD5" w:rsidRDefault="00A50DD5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  <w:t>Өзгеріссіз</w:t>
            </w:r>
          </w:p>
        </w:tc>
      </w:tr>
      <w:tr w:rsidR="00A50DD5" w:rsidRPr="008D4447" w14:paraId="6E46E227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88C6" w14:textId="77777777" w:rsidR="00A50DD5" w:rsidRPr="00C75FFC" w:rsidRDefault="00A50DD5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E4FC3A8" w14:textId="000282B1" w:rsidR="00A50DD5" w:rsidRDefault="00A50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тарма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6F420B95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7.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мақсатында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:</w:t>
            </w:r>
          </w:p>
          <w:p w14:paraId="53C34339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1) банк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ұйымдарына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04F6B15C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2)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тиісті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жергілікті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атқарушы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Қазақстан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Республикасының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аумағында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қызметін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жүзеге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асыратын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ұйымдарға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06FECD20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3)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тексерілетін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өнім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берушілерімен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алушыларымен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өзара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есеп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айырысулар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мәселесі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бойынша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қарсы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тексерулер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жүргізу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басқа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органдарына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780FE8AA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 xml:space="preserve">4)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шет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мемлекеттердің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құзыретті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органдарына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155DA9C3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5)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тексерілетін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агенті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көрсеткен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қызметтердің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құны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тапсырыс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берушілерге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алынған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өнімнің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құны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көлемі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алушыларға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454655D0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6)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тексерілетін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агентіне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акцизделетін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тауарлардың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жекелеген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түрлерінің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өндірісі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айналымы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саласында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қызметтер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көрсеткен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шикізатты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энергия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ресурстарын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қосалқы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материалдарды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жіберуді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жүзеге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асырған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заңды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тұлғаларға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сұрау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салулар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жібереді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5511F8EB" w14:textId="3656DA5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Осы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тармақтың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бірінші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бөлігінде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ақпарат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көздері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мән-жайларға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тексерілетін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агентінің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қызмет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сипаты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түріне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қарай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әрбір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нақты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жағдайда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қолданылады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</w:tc>
        <w:tc>
          <w:tcPr>
            <w:tcW w:w="4820" w:type="dxa"/>
          </w:tcPr>
          <w:p w14:paraId="755F232F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 xml:space="preserve">7.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объектілерді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мақсатында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:</w:t>
            </w:r>
          </w:p>
          <w:p w14:paraId="5DD5A6ED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1) банк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ұйымдарына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6871BED1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2)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тиісті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жергілікті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атқарушы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Қазақстан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Республикасының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аумағында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қызметін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жүзеге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асыратын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ұйымдарға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6EB24744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3)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тексерілетін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өнім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берушілерімен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алушыларымен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өзара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есеп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айырысулар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мәселесі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бойынша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қарсы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тексерулер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жүргізу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басқа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органдарына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4864F8C2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 xml:space="preserve">4)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шет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мемлекеттердің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құзыретті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органдарына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64A80A75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5)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тексерілетін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агенті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көрсеткен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қызметтердің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құны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тапсырыс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берушілерге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алынған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өнімнің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құны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көлемі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алушыларға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;</w:t>
            </w:r>
          </w:p>
          <w:p w14:paraId="1DA61E7F" w14:textId="77777777" w:rsidR="00A50DD5" w:rsidRPr="00A50DD5" w:rsidRDefault="00A50DD5" w:rsidP="00A50DD5">
            <w:pPr>
              <w:spacing w:after="0" w:line="240" w:lineRule="auto"/>
              <w:ind w:firstLine="317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6)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тексерілетін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агентіне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акцизделетін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тауарлардың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жекелеген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түрлерінің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өндірісі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айналымы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саласында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қызметтер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көрсеткен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шикізатты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энергия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ресурстарын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қосалқы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материалдарды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жіберуді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жүзеге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асырған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заңды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тұлғаларға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сұрау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салулар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жібереді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2D873700" w14:textId="08ECA882" w:rsidR="00A50DD5" w:rsidRPr="00A50DD5" w:rsidRDefault="00A50DD5" w:rsidP="00A50DD5">
            <w:pPr>
              <w:pStyle w:val="af5"/>
              <w:ind w:firstLine="284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Осы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тармақтың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бірінші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бөлігінде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ақпарат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көздері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мән-жайларға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тексерілетін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төлеушінің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агентінің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қызмет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сипаты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түріне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қарай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әрбір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нақты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жағдайда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қолданылады</w:t>
            </w:r>
            <w:proofErr w:type="spellEnd"/>
            <w:r w:rsidRPr="00A50DD5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</w:tc>
        <w:tc>
          <w:tcPr>
            <w:tcW w:w="3969" w:type="dxa"/>
          </w:tcPr>
          <w:p w14:paraId="3755B67E" w14:textId="6E49DE65" w:rsidR="00A50DD5" w:rsidRPr="00A50DD5" w:rsidRDefault="00A50DD5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val="kk-KZ"/>
              </w:rPr>
              <w:lastRenderedPageBreak/>
              <w:t>Өзгеріссіз</w:t>
            </w:r>
          </w:p>
        </w:tc>
      </w:tr>
      <w:tr w:rsidR="00F40AFC" w:rsidRPr="008D4447" w14:paraId="52155C27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4693" w14:textId="77777777" w:rsidR="00F40AFC" w:rsidRPr="00FB0BF6" w:rsidRDefault="00F40AFC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</w:p>
        </w:tc>
        <w:tc>
          <w:tcPr>
            <w:tcW w:w="1134" w:type="dxa"/>
          </w:tcPr>
          <w:p w14:paraId="0AB64FFF" w14:textId="5DA111DC" w:rsidR="00F40AFC" w:rsidRPr="003276B1" w:rsidRDefault="003F337A" w:rsidP="003F33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8 -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тарма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359F6D72" w14:textId="502873B5" w:rsidR="00FD7A2E" w:rsidRPr="00FD7A2E" w:rsidRDefault="003276B1" w:rsidP="00FD7A2E">
            <w:pPr>
              <w:spacing w:after="0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hAnsi="Times New Roman"/>
                <w:b/>
                <w:bCs/>
                <w:sz w:val="28"/>
                <w:szCs w:val="28"/>
              </w:rPr>
              <w:t>8.</w:t>
            </w:r>
            <w:r w:rsidR="00FD7A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Мемлекеттік</w:t>
            </w:r>
            <w:proofErr w:type="spellEnd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кірістер</w:t>
            </w:r>
            <w:proofErr w:type="spellEnd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органдары</w:t>
            </w:r>
            <w:proofErr w:type="spellEnd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объектілерді</w:t>
            </w:r>
            <w:proofErr w:type="spellEnd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айқындау</w:t>
            </w:r>
            <w:proofErr w:type="spellEnd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үшін</w:t>
            </w:r>
            <w:proofErr w:type="spellEnd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мынадай</w:t>
            </w:r>
            <w:proofErr w:type="spellEnd"/>
            <w:r w:rsidR="00FD7A2E"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:</w:t>
            </w:r>
          </w:p>
          <w:p w14:paraId="40367812" w14:textId="43EDF7BA" w:rsidR="00FD7A2E" w:rsidRPr="00FD7A2E" w:rsidRDefault="00FD7A2E" w:rsidP="00FD7A2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1)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жеке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тұлғаның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банктік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шоттарындағы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ақша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қалдығы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lastRenderedPageBreak/>
              <w:t>қозғалысы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туралы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жеке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тұлғаға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берілген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кредиттер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және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ипотекалық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тұрғын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үй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қарыздары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бойынша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сыйақыларды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өтеуге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шығыстар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туралы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;</w:t>
            </w:r>
          </w:p>
          <w:p w14:paraId="04A91339" w14:textId="1CFA286F" w:rsidR="00FD7A2E" w:rsidRPr="00FD7A2E" w:rsidRDefault="00FD7A2E" w:rsidP="00FD7A2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2)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жеке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тұлғалардың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Қазақстан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Республикасының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аумағында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орналасқан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мүлкі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туралы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медицинаға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және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білімге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жұмсаған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шығыстары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мәмілелері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шарттары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оның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ішінде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сақтандыру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шарттары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бойынша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жеке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тұлғаның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бағалы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қағаздармен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, биржа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тауарларымен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мәмілелері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және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әлеуметтік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төлемдер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бойынша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аударымдары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төлемдері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туралы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;</w:t>
            </w:r>
          </w:p>
          <w:p w14:paraId="65532C86" w14:textId="3C36CA42" w:rsidR="00FD7A2E" w:rsidRPr="00FD7A2E" w:rsidRDefault="00FD7A2E" w:rsidP="00FD7A2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3)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шет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мемлекеттеріндегі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мүлік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туралы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мәліметтер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оның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ішінде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жеңілдікті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салық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салынатын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;</w:t>
            </w:r>
          </w:p>
          <w:p w14:paraId="42E00113" w14:textId="356D4682" w:rsidR="00FD7A2E" w:rsidRPr="00FD7A2E" w:rsidRDefault="00FD7A2E" w:rsidP="00FD7A2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4)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жеке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және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заңды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тұлғалардың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ұсынған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салықтық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есептілік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нысандарынан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;</w:t>
            </w:r>
          </w:p>
          <w:p w14:paraId="2695FB10" w14:textId="74CE9D16" w:rsidR="00FD7A2E" w:rsidRPr="00FD7A2E" w:rsidRDefault="00FD7A2E" w:rsidP="00FD7A2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5)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салықтық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және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кедендік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бақылау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нәтижелері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бойынша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алынған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мәліметтер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оның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ішінде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жеке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тұлғамен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Қазақстан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Республикасының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Азаматтық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кодексіне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сәйкес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мәмілелер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жасасқан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lastRenderedPageBreak/>
              <w:t>тұлғаларға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қатысты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және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немесе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дебиторлық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және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немесе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кредиторлық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берешек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туындаған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жеке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тұлғамен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өзара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есеп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айырысулар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бойынша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;</w:t>
            </w:r>
          </w:p>
          <w:p w14:paraId="0F278DE8" w14:textId="52C7EE22" w:rsidR="00F40AFC" w:rsidRPr="00A50DD5" w:rsidRDefault="00FD7A2E" w:rsidP="00A50DD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6)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құжаттармен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расталған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басқа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ақпарат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көздерінен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алынған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мәліметтерді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қолданады</w:t>
            </w:r>
            <w:proofErr w:type="spellEnd"/>
            <w:r w:rsidRPr="00FD7A2E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.</w:t>
            </w:r>
          </w:p>
        </w:tc>
        <w:tc>
          <w:tcPr>
            <w:tcW w:w="4820" w:type="dxa"/>
          </w:tcPr>
          <w:p w14:paraId="7B7BAD75" w14:textId="0FCEADE1" w:rsidR="00F40AFC" w:rsidRPr="00FD7A2E" w:rsidRDefault="001B3A19" w:rsidP="00C75FFC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bookmarkStart w:id="1" w:name="_Hlk221526360"/>
            <w:r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lastRenderedPageBreak/>
              <w:t xml:space="preserve">8. </w:t>
            </w:r>
            <w:r w:rsidR="00FD7A2E" w:rsidRPr="00DF0532">
              <w:rPr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Кіріс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бөлігін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айқындау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кезінде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қаражаттың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расталған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көзі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proofErr w:type="gram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ретінде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Салық</w:t>
            </w:r>
            <w:proofErr w:type="spellEnd"/>
            <w:proofErr w:type="gramEnd"/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кодексінің</w:t>
            </w:r>
            <w:proofErr w:type="spellEnd"/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423-бабының 1-тармағында </w:t>
            </w:r>
            <w:proofErr w:type="spellStart"/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белгіленген</w:t>
            </w:r>
            <w:proofErr w:type="spellEnd"/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шекте</w:t>
            </w:r>
            <w:proofErr w:type="spellEnd"/>
            <w:r w:rsidR="008D4447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активтер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міндеттемелер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туралы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декларациясында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>көрсетілген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</w:t>
            </w:r>
            <w:proofErr w:type="spellStart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lastRenderedPageBreak/>
              <w:t>қолма-қол</w:t>
            </w:r>
            <w:proofErr w:type="spellEnd"/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а</w:t>
            </w:r>
            <w:r w:rsidR="008D4447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қша қаражаттары да ескеріледі.</w:t>
            </w:r>
            <w:r w:rsidR="00FD7A2E" w:rsidRPr="00DF0532"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  <w:t xml:space="preserve">  </w:t>
            </w:r>
            <w:bookmarkEnd w:id="1"/>
          </w:p>
        </w:tc>
        <w:tc>
          <w:tcPr>
            <w:tcW w:w="3969" w:type="dxa"/>
          </w:tcPr>
          <w:p w14:paraId="795DEC3C" w14:textId="77777777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>Қағидалардың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7-тармағына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сәйкес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банктерге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уәкілетті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жергілікті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атқарушы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шетелдік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құзыретті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>органдарға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тапсырыс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берушілерге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сатып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алушыларға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де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тұлғаларға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сұрау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салулар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жібереді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.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Осындай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сұрау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салулар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шеңберінде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алынған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мәліметтер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тарапынан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салу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объектілерін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кезінде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пайдаланылады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233CA6D2" w14:textId="77777777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</w:p>
          <w:p w14:paraId="556D92BC" w14:textId="76331A6F" w:rsidR="008D4447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Осы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ретте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бөлігін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кезінде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расталған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қаражат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көзі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ретінде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423-бабының 1-тармағында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белгіленген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шектерде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активтер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мен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міндеттемелер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декларацияда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қолма-қол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ақшалай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қаражаттар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ескеріледі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  <w:p w14:paraId="52BA59D7" w14:textId="67A31395" w:rsidR="00F40AFC" w:rsidRPr="008D4447" w:rsidRDefault="008D4447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Тиісті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норманы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8-тармаққа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енгізу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мәліметтерді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жүйелі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түрде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есепке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алуға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және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тұлғаның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кіріс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бөлігін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айқындау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кезінде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Қазақстан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>Республикасының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Салық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кодексінің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423-бабының 1-тармағының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ережелерін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дұрыс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қолдануды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қамтамасыз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етуге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мүмкіндік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береді</w:t>
            </w:r>
            <w:proofErr w:type="spellEnd"/>
            <w:r w:rsidRPr="008D4447"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.</w:t>
            </w:r>
          </w:p>
        </w:tc>
      </w:tr>
      <w:tr w:rsidR="00A50DD5" w:rsidRPr="008D4447" w14:paraId="76425A1C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2394" w14:textId="77777777" w:rsidR="00A50DD5" w:rsidRPr="00FB0BF6" w:rsidRDefault="00A50DD5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</w:p>
        </w:tc>
        <w:tc>
          <w:tcPr>
            <w:tcW w:w="1134" w:type="dxa"/>
          </w:tcPr>
          <w:p w14:paraId="2EC2D336" w14:textId="29E5DE74" w:rsidR="00A50DD5" w:rsidRDefault="00A50DD5" w:rsidP="003F33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тарма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032D8E92" w14:textId="1B36E13F" w:rsidR="00A50DD5" w:rsidRPr="00A50DD5" w:rsidRDefault="00A50DD5" w:rsidP="00FD7A2E">
            <w:pPr>
              <w:spacing w:after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9.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әдіс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негізінде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айқындаған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объектілер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мәліметтерді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есептілігінде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тиісті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деректермен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салыстырады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.</w:t>
            </w:r>
          </w:p>
        </w:tc>
        <w:tc>
          <w:tcPr>
            <w:tcW w:w="4820" w:type="dxa"/>
          </w:tcPr>
          <w:p w14:paraId="05C32340" w14:textId="7F777E83" w:rsidR="00A50DD5" w:rsidRPr="00DF0532" w:rsidRDefault="00A50DD5" w:rsidP="00C75FFC">
            <w:pPr>
              <w:pStyle w:val="af5"/>
              <w:ind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9.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органдары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жанама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әдіс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негізінде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айқындаған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объектілер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мәліметтерді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есептілігінде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тиісті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деректермен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салыстырады</w:t>
            </w:r>
            <w:proofErr w:type="spellEnd"/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>.</w:t>
            </w:r>
          </w:p>
        </w:tc>
        <w:tc>
          <w:tcPr>
            <w:tcW w:w="3969" w:type="dxa"/>
          </w:tcPr>
          <w:p w14:paraId="2A2C082C" w14:textId="3C27B228" w:rsidR="00A50DD5" w:rsidRPr="008D4447" w:rsidRDefault="00A50DD5" w:rsidP="008D4447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</w:pP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Өзгеріссіз</w:t>
            </w:r>
            <w:proofErr w:type="spellEnd"/>
          </w:p>
        </w:tc>
      </w:tr>
      <w:tr w:rsidR="001B3A19" w:rsidRPr="003276B1" w14:paraId="0AD55A78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DFE" w14:textId="7A7BAD9F" w:rsidR="001B3A19" w:rsidRPr="00A50DD5" w:rsidRDefault="00A50DD5" w:rsidP="00A50DD5">
            <w:pPr>
              <w:tabs>
                <w:tab w:val="left" w:pos="34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sz w:val="28"/>
                <w:szCs w:val="28"/>
                <w:lang w:val="ru-KZ"/>
              </w:rPr>
              <w:t xml:space="preserve"> 10.</w:t>
            </w:r>
          </w:p>
        </w:tc>
        <w:tc>
          <w:tcPr>
            <w:tcW w:w="1134" w:type="dxa"/>
          </w:tcPr>
          <w:p w14:paraId="3032D5E4" w14:textId="5EB70BA9" w:rsidR="001B3A19" w:rsidRPr="003276B1" w:rsidRDefault="003F337A" w:rsidP="00A50DD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10-тарма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3ABE0E20" w14:textId="6D359096" w:rsidR="003F337A" w:rsidRPr="003F337A" w:rsidRDefault="001B3A19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10. </w:t>
            </w:r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Жеке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тұлға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Салық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кодексінің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F337A" w:rsidRPr="003F337A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417-</w:t>
            </w:r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бабында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белгіленген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мерзімде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кірістер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мүлік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декларацияны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табыс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етпеген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жағдайда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мұндай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жеке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тұлғада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</w:p>
          <w:p w14:paraId="6E5B6F82" w14:textId="3AF8B87D" w:rsidR="003F337A" w:rsidRPr="003F337A" w:rsidRDefault="003F337A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жеке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тұлғаның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дертес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салық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салуға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жататын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кірістері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14:paraId="294463A5" w14:textId="72CA5FC2" w:rsidR="001B3A19" w:rsidRPr="000B14ED" w:rsidRDefault="003F337A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басқа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тіркеуге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жататын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мүлікті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құқықтары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мәмілелері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өзге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тіркеуге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жататын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мүлікті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сатып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алу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иеліктен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шығару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өтеусіз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алу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дебиторлық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кредиторлық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берешек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оның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ішінде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Республикасының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шегінен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тысқары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жерлердегі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фактісі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болмағаны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расталды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саналады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14:paraId="6B2FAE93" w14:textId="299FF63D" w:rsidR="003F337A" w:rsidRPr="003F337A" w:rsidRDefault="001B3A19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923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10. </w:t>
            </w:r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Жеке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тұлға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Салық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кодексінің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F337A" w:rsidRPr="003F337A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41</w:t>
            </w:r>
            <w:r w:rsidR="003F337A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8</w:t>
            </w:r>
            <w:r w:rsidR="003F337A" w:rsidRPr="003F337A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-</w:t>
            </w:r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бабында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белгіленген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мерзімде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кірістер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мүлік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декларацияны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табыс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етпеген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жағдайда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мұндай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жеке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тұлғада</w:t>
            </w:r>
            <w:proofErr w:type="spellEnd"/>
            <w:r w:rsidR="003F337A"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</w:p>
          <w:p w14:paraId="1F49264E" w14:textId="77777777" w:rsidR="003F337A" w:rsidRPr="003F337A" w:rsidRDefault="003F337A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жеке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тұлғаның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дертес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салық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салуға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жататын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кірістері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14:paraId="3FAF8649" w14:textId="544F3D33" w:rsidR="001B3A19" w:rsidRPr="000B14ED" w:rsidRDefault="003F337A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басқа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тіркеуге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жататын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мүлікті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құқықтары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мәмілелері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өзге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тіркеуге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жататын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мүлікті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сатып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алу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иеліктен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шығару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өтеусіз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алу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дебиторлық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кредиторлық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берешек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оның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ішінде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Республикасының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шегінен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тысқары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жерлердегі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фактісі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болмағаны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расталды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саналады</w:t>
            </w:r>
            <w:proofErr w:type="spellEnd"/>
            <w:r w:rsidRPr="003F33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4BBF7416" w14:textId="4AE24A85" w:rsidR="001B3A19" w:rsidRPr="003F337A" w:rsidRDefault="001B3A19" w:rsidP="001B3A19">
            <w:pPr>
              <w:spacing w:after="0" w:line="240" w:lineRule="auto"/>
              <w:ind w:firstLine="318"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kk-KZ"/>
              </w:rPr>
            </w:pPr>
            <w:proofErr w:type="spellStart"/>
            <w:r w:rsidRPr="006E513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Редакци</w:t>
            </w:r>
            <w:r w:rsidR="003F337A">
              <w:rPr>
                <w:rFonts w:ascii="Times New Roman" w:hAnsi="Times New Roman"/>
                <w:bCs/>
                <w:sz w:val="28"/>
                <w:szCs w:val="28"/>
              </w:rPr>
              <w:t>ялы</w:t>
            </w:r>
            <w:proofErr w:type="spellEnd"/>
            <w:r w:rsidR="003F337A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 жөндеу</w:t>
            </w:r>
          </w:p>
        </w:tc>
      </w:tr>
      <w:tr w:rsidR="00A50DD5" w:rsidRPr="003276B1" w14:paraId="56389EB9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3F56" w14:textId="0BA307B9" w:rsidR="00A50DD5" w:rsidRPr="00A50DD5" w:rsidRDefault="00A50DD5" w:rsidP="00A50DD5">
            <w:pPr>
              <w:tabs>
                <w:tab w:val="left" w:pos="34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KZ"/>
              </w:rPr>
            </w:pPr>
            <w:r>
              <w:rPr>
                <w:rFonts w:ascii="Times New Roman" w:hAnsi="Times New Roman"/>
                <w:sz w:val="28"/>
                <w:szCs w:val="28"/>
                <w:lang w:val="ru-KZ"/>
              </w:rPr>
              <w:t>11.</w:t>
            </w:r>
          </w:p>
        </w:tc>
        <w:tc>
          <w:tcPr>
            <w:tcW w:w="1134" w:type="dxa"/>
          </w:tcPr>
          <w:p w14:paraId="09D9906D" w14:textId="36F290D4" w:rsidR="00A50DD5" w:rsidRDefault="00A50DD5" w:rsidP="00A50DD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-тарма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7A865254" w14:textId="2B5FEC6D" w:rsidR="00A50DD5" w:rsidRPr="00A50DD5" w:rsidRDefault="00A50DD5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11.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Егер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есептілігінде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тұтынуға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ішінде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мүлік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алуға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жұмсаған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шығыстарынмен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сәйкес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келмеген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жағдайда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органдары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өткен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кезеңдердегі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кірістерді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ескере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отырып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шығындары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негізінде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салықты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айқындайды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.</w:t>
            </w:r>
          </w:p>
        </w:tc>
        <w:tc>
          <w:tcPr>
            <w:tcW w:w="4820" w:type="dxa"/>
          </w:tcPr>
          <w:p w14:paraId="0E114B38" w14:textId="3A471B81" w:rsidR="00A50DD5" w:rsidRPr="00A50DD5" w:rsidRDefault="00A50DD5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11.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Егер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есептілігінде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жеке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тұтынуға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ішінде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мүлік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сатып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алуға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жұмсаған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шығыстарынмен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сәйкес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келмеген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жағдайда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органдары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өткен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кезеңдердегі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кірістерді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ескере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отырып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шығындары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негізінде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салықты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айқындайды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.</w:t>
            </w:r>
          </w:p>
        </w:tc>
        <w:tc>
          <w:tcPr>
            <w:tcW w:w="3969" w:type="dxa"/>
          </w:tcPr>
          <w:p w14:paraId="487F49A2" w14:textId="64DF82D8" w:rsidR="00A50DD5" w:rsidRPr="006E5138" w:rsidRDefault="00A50DD5" w:rsidP="001B3A19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Өзгеріссіз</w:t>
            </w:r>
            <w:proofErr w:type="spellEnd"/>
          </w:p>
        </w:tc>
      </w:tr>
      <w:tr w:rsidR="00A50DD5" w:rsidRPr="003276B1" w14:paraId="63B8EAD9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03D9" w14:textId="5E860E10" w:rsidR="00A50DD5" w:rsidRDefault="00A50DD5" w:rsidP="00A50DD5">
            <w:pPr>
              <w:tabs>
                <w:tab w:val="left" w:pos="34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KZ"/>
              </w:rPr>
            </w:pPr>
            <w:r>
              <w:rPr>
                <w:rFonts w:ascii="Times New Roman" w:hAnsi="Times New Roman"/>
                <w:sz w:val="28"/>
                <w:szCs w:val="28"/>
                <w:lang w:val="ru-KZ"/>
              </w:rPr>
              <w:t>12.</w:t>
            </w:r>
          </w:p>
        </w:tc>
        <w:tc>
          <w:tcPr>
            <w:tcW w:w="1134" w:type="dxa"/>
          </w:tcPr>
          <w:p w14:paraId="63E0906B" w14:textId="6020F193" w:rsidR="00A50DD5" w:rsidRDefault="00A50DD5" w:rsidP="00A50DD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-тарма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3D3ACFE3" w14:textId="77777777" w:rsidR="00A50DD5" w:rsidRPr="00A50DD5" w:rsidRDefault="00A50DD5" w:rsidP="00A50DD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12. Жеке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тұлғада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активтерінің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ішінде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аяқталмаған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құрылыс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объектілерінің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көлік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құралдарының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жер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учаскелерінің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материалдық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емес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активтердің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инвестициялық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мүлік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басқа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мүліктің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құнын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растайтын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құжаттары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болмаса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онда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осы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кірісіне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активтің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нарықтық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құны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қосылады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.</w:t>
            </w:r>
          </w:p>
          <w:p w14:paraId="39114AFD" w14:textId="1446168D" w:rsidR="00A50DD5" w:rsidRPr="00A50DD5" w:rsidRDefault="00A50DD5" w:rsidP="00A50DD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</w:pP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Объектілердің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нарықтық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құны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органы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тартқан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, «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Қазақстан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Республикасындағы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бағалау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қызметі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»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Қазақстан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Республикасының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Заңына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сәйкес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lastRenderedPageBreak/>
              <w:t>қызметті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жүзеге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асыратын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бағалаушының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есебі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негізінде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айқындалады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.</w:t>
            </w:r>
          </w:p>
        </w:tc>
        <w:tc>
          <w:tcPr>
            <w:tcW w:w="4820" w:type="dxa"/>
          </w:tcPr>
          <w:p w14:paraId="4B387051" w14:textId="77777777" w:rsidR="00A50DD5" w:rsidRPr="00A50DD5" w:rsidRDefault="00A50DD5" w:rsidP="00A50DD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lastRenderedPageBreak/>
              <w:t xml:space="preserve">12. Жеке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тұлғада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активтерінің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ішінде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аяқталмаған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құрылыс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объектілерінің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көлік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құралдарының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жер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учаскелерінің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материалдық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емес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активтердің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инвестициялық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мүлік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басқа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мүліктің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құнын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растайтын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құжаттары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болмаса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,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онда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осы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кірісіне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көрсетілген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активтің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нарықтық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құны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қосылады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.</w:t>
            </w:r>
          </w:p>
          <w:p w14:paraId="677697E3" w14:textId="4F39B535" w:rsidR="00A50DD5" w:rsidRPr="00A50DD5" w:rsidRDefault="00A50DD5" w:rsidP="00A50DD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</w:pP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Объектілердің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нарықтық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құны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органы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тартқан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, «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Қазақстан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Республикасындағы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бағалау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қызметі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туралы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»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Қазақстан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Республикасының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Заңына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сәйкес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lastRenderedPageBreak/>
              <w:t>қызметті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жүзеге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асыратын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бағалаушының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есебі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негізінде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айқындалады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.</w:t>
            </w:r>
          </w:p>
        </w:tc>
        <w:tc>
          <w:tcPr>
            <w:tcW w:w="3969" w:type="dxa"/>
          </w:tcPr>
          <w:p w14:paraId="4BADC059" w14:textId="6DAB7C45" w:rsidR="00A50DD5" w:rsidRPr="006E5138" w:rsidRDefault="00A50DD5" w:rsidP="001B3A19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lastRenderedPageBreak/>
              <w:t>Өзгеріссіз</w:t>
            </w:r>
            <w:proofErr w:type="spellEnd"/>
          </w:p>
        </w:tc>
      </w:tr>
      <w:tr w:rsidR="00A50DD5" w:rsidRPr="003276B1" w14:paraId="78D716E4" w14:textId="77777777" w:rsidTr="00A50DD5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68B3" w14:textId="5E96AFDF" w:rsidR="00A50DD5" w:rsidRDefault="00A50DD5" w:rsidP="00A50DD5">
            <w:pPr>
              <w:tabs>
                <w:tab w:val="left" w:pos="34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KZ"/>
              </w:rPr>
            </w:pPr>
            <w:r>
              <w:rPr>
                <w:rFonts w:ascii="Times New Roman" w:hAnsi="Times New Roman"/>
                <w:sz w:val="28"/>
                <w:szCs w:val="28"/>
                <w:lang w:val="ru-KZ"/>
              </w:rPr>
              <w:t>13.</w:t>
            </w:r>
          </w:p>
        </w:tc>
        <w:tc>
          <w:tcPr>
            <w:tcW w:w="1134" w:type="dxa"/>
          </w:tcPr>
          <w:p w14:paraId="14BA837B" w14:textId="09A3C089" w:rsidR="00A50DD5" w:rsidRDefault="00A50DD5" w:rsidP="00A50DD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-тарма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қ</w:t>
            </w:r>
          </w:p>
        </w:tc>
        <w:tc>
          <w:tcPr>
            <w:tcW w:w="4961" w:type="dxa"/>
          </w:tcPr>
          <w:p w14:paraId="5252C11A" w14:textId="25DAD50D" w:rsidR="00A50DD5" w:rsidRPr="00A50DD5" w:rsidRDefault="00A50DD5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3. Жеке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жанама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әдіспен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салуға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жататын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кірістерін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айқындау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нәтижелері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тексеру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жүргізу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немесе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бақылаудың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өзге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де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нысанын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жүзеге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асыру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барысында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пайдаланылады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.</w:t>
            </w:r>
          </w:p>
        </w:tc>
        <w:tc>
          <w:tcPr>
            <w:tcW w:w="4820" w:type="dxa"/>
          </w:tcPr>
          <w:p w14:paraId="4BC6DDDC" w14:textId="510B6AF4" w:rsidR="00A50DD5" w:rsidRPr="00A50DD5" w:rsidRDefault="00A50DD5" w:rsidP="003F337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</w:pPr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3. Жеке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тұлғаның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жанама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әдіспен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салуға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жататын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кірістерін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айқындау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нәтижелері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салықтық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тексеру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жүргізу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және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(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немесе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)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мемлекеттік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бақылаудың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өзге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де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нысанын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жүзеге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асыру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барысында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 xml:space="preserve"> </w:t>
            </w:r>
            <w:proofErr w:type="spellStart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пайдаланылады</w:t>
            </w:r>
            <w:proofErr w:type="spellEnd"/>
            <w:r w:rsidRPr="00A50DD5">
              <w:rPr>
                <w:rFonts w:ascii="Times New Roman" w:hAnsi="Times New Roman"/>
                <w:color w:val="000000" w:themeColor="text1"/>
                <w:sz w:val="28"/>
                <w:szCs w:val="28"/>
                <w:lang w:val="ru-KZ"/>
              </w:rPr>
              <w:t>.</w:t>
            </w:r>
          </w:p>
        </w:tc>
        <w:tc>
          <w:tcPr>
            <w:tcW w:w="3969" w:type="dxa"/>
          </w:tcPr>
          <w:p w14:paraId="273A0B7A" w14:textId="66CB612B" w:rsidR="00A50DD5" w:rsidRPr="006E5138" w:rsidRDefault="00A50DD5" w:rsidP="001B3A19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val="ru-KZ"/>
              </w:rPr>
              <w:t>Өзгеріссіз</w:t>
            </w:r>
            <w:proofErr w:type="spellEnd"/>
          </w:p>
        </w:tc>
      </w:tr>
    </w:tbl>
    <w:p w14:paraId="79EC6012" w14:textId="77777777" w:rsidR="00554F3F" w:rsidRPr="003276B1" w:rsidRDefault="00554F3F" w:rsidP="000B14E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554F3F" w:rsidRPr="003276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90DF2" w14:textId="77777777" w:rsidR="00B55058" w:rsidRDefault="00B55058">
      <w:pPr>
        <w:spacing w:line="240" w:lineRule="auto"/>
      </w:pPr>
      <w:r>
        <w:separator/>
      </w:r>
    </w:p>
  </w:endnote>
  <w:endnote w:type="continuationSeparator" w:id="0">
    <w:p w14:paraId="34B5BE2C" w14:textId="77777777" w:rsidR="00B55058" w:rsidRDefault="00B55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28EE" w14:textId="77777777" w:rsidR="0095458E" w:rsidRDefault="0095458E">
    <w:pPr>
      <w:pStyle w:val="af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B25C" w14:textId="77777777" w:rsidR="0095458E" w:rsidRDefault="0095458E">
    <w:pPr>
      <w:pStyle w:val="af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650D" w14:textId="77777777" w:rsidR="0095458E" w:rsidRDefault="0095458E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A38B5" w14:textId="77777777" w:rsidR="00B55058" w:rsidRDefault="00B55058">
      <w:pPr>
        <w:spacing w:after="0"/>
      </w:pPr>
      <w:r>
        <w:separator/>
      </w:r>
    </w:p>
  </w:footnote>
  <w:footnote w:type="continuationSeparator" w:id="0">
    <w:p w14:paraId="4215CADD" w14:textId="77777777" w:rsidR="00B55058" w:rsidRDefault="00B550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77186" w14:textId="77777777" w:rsidR="0095458E" w:rsidRDefault="0095458E">
    <w:pPr>
      <w:pStyle w:val="ad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</w:rPr>
      <w:id w:val="-1485242574"/>
      <w:docPartObj>
        <w:docPartGallery w:val="AutoText"/>
      </w:docPartObj>
    </w:sdtPr>
    <w:sdtEndPr>
      <w:rPr>
        <w:sz w:val="28"/>
        <w:szCs w:val="28"/>
      </w:rPr>
    </w:sdtEndPr>
    <w:sdtContent>
      <w:p w14:paraId="201A8D8D" w14:textId="78FF132E" w:rsidR="0095458E" w:rsidRPr="00AE272A" w:rsidRDefault="0095458E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AE272A">
          <w:rPr>
            <w:rFonts w:ascii="Times New Roman" w:hAnsi="Times New Roman"/>
            <w:sz w:val="28"/>
            <w:szCs w:val="28"/>
          </w:rPr>
          <w:fldChar w:fldCharType="begin"/>
        </w:r>
        <w:r w:rsidRPr="00AE272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E272A">
          <w:rPr>
            <w:rFonts w:ascii="Times New Roman" w:hAnsi="Times New Roman"/>
            <w:sz w:val="28"/>
            <w:szCs w:val="28"/>
          </w:rPr>
          <w:fldChar w:fldCharType="separate"/>
        </w:r>
        <w:r w:rsidR="00AD6FAA">
          <w:rPr>
            <w:rFonts w:ascii="Times New Roman" w:hAnsi="Times New Roman"/>
            <w:noProof/>
            <w:sz w:val="28"/>
            <w:szCs w:val="28"/>
          </w:rPr>
          <w:t>2</w:t>
        </w:r>
        <w:r w:rsidRPr="00AE272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A4B1" w14:textId="77777777" w:rsidR="0095458E" w:rsidRDefault="0095458E">
    <w:pPr>
      <w:pStyle w:val="ad"/>
      <w:jc w:val="center"/>
    </w:pPr>
  </w:p>
  <w:p w14:paraId="7D44D7D0" w14:textId="77777777" w:rsidR="0095458E" w:rsidRDefault="0095458E">
    <w:pPr>
      <w:pStyle w:val="ad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B4984"/>
    <w:multiLevelType w:val="multilevel"/>
    <w:tmpl w:val="4DF29B9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122" w:hanging="360"/>
      </w:pPr>
    </w:lvl>
    <w:lvl w:ilvl="2">
      <w:start w:val="1"/>
      <w:numFmt w:val="lowerRoman"/>
      <w:lvlText w:val="%3."/>
      <w:lvlJc w:val="right"/>
      <w:pPr>
        <w:ind w:left="1842" w:hanging="180"/>
      </w:pPr>
    </w:lvl>
    <w:lvl w:ilvl="3">
      <w:start w:val="1"/>
      <w:numFmt w:val="decimal"/>
      <w:lvlText w:val="%4."/>
      <w:lvlJc w:val="left"/>
      <w:pPr>
        <w:ind w:left="2562" w:hanging="360"/>
      </w:pPr>
    </w:lvl>
    <w:lvl w:ilvl="4">
      <w:start w:val="1"/>
      <w:numFmt w:val="lowerLetter"/>
      <w:lvlText w:val="%5."/>
      <w:lvlJc w:val="left"/>
      <w:pPr>
        <w:ind w:left="3282" w:hanging="360"/>
      </w:pPr>
    </w:lvl>
    <w:lvl w:ilvl="5">
      <w:start w:val="1"/>
      <w:numFmt w:val="lowerRoman"/>
      <w:lvlText w:val="%6."/>
      <w:lvlJc w:val="right"/>
      <w:pPr>
        <w:ind w:left="4002" w:hanging="180"/>
      </w:pPr>
    </w:lvl>
    <w:lvl w:ilvl="6">
      <w:start w:val="1"/>
      <w:numFmt w:val="decimal"/>
      <w:lvlText w:val="%7."/>
      <w:lvlJc w:val="left"/>
      <w:pPr>
        <w:ind w:left="4722" w:hanging="360"/>
      </w:pPr>
    </w:lvl>
    <w:lvl w:ilvl="7">
      <w:start w:val="1"/>
      <w:numFmt w:val="lowerLetter"/>
      <w:lvlText w:val="%8."/>
      <w:lvlJc w:val="left"/>
      <w:pPr>
        <w:ind w:left="5442" w:hanging="360"/>
      </w:pPr>
    </w:lvl>
    <w:lvl w:ilvl="8">
      <w:start w:val="1"/>
      <w:numFmt w:val="lowerRoman"/>
      <w:lvlText w:val="%9."/>
      <w:lvlJc w:val="right"/>
      <w:pPr>
        <w:ind w:left="6162" w:hanging="180"/>
      </w:pPr>
    </w:lvl>
  </w:abstractNum>
  <w:abstractNum w:abstractNumId="1" w15:restartNumberingAfterBreak="0">
    <w:nsid w:val="48541276"/>
    <w:multiLevelType w:val="hybridMultilevel"/>
    <w:tmpl w:val="E34EC916"/>
    <w:lvl w:ilvl="0" w:tplc="C3AEA7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BEED440">
      <w:start w:val="1"/>
      <w:numFmt w:val="lowerLetter"/>
      <w:lvlText w:val="%2."/>
      <w:lvlJc w:val="left"/>
      <w:pPr>
        <w:ind w:left="1788" w:hanging="360"/>
      </w:pPr>
    </w:lvl>
    <w:lvl w:ilvl="2" w:tplc="1D382F3A">
      <w:start w:val="1"/>
      <w:numFmt w:val="lowerRoman"/>
      <w:lvlText w:val="%3."/>
      <w:lvlJc w:val="right"/>
      <w:pPr>
        <w:ind w:left="2508" w:hanging="180"/>
      </w:pPr>
    </w:lvl>
    <w:lvl w:ilvl="3" w:tplc="0A14DD6E">
      <w:start w:val="1"/>
      <w:numFmt w:val="decimal"/>
      <w:lvlText w:val="%4."/>
      <w:lvlJc w:val="left"/>
      <w:pPr>
        <w:ind w:left="3228" w:hanging="360"/>
      </w:pPr>
    </w:lvl>
    <w:lvl w:ilvl="4" w:tplc="4F72358A">
      <w:start w:val="1"/>
      <w:numFmt w:val="lowerLetter"/>
      <w:lvlText w:val="%5."/>
      <w:lvlJc w:val="left"/>
      <w:pPr>
        <w:ind w:left="3948" w:hanging="360"/>
      </w:pPr>
    </w:lvl>
    <w:lvl w:ilvl="5" w:tplc="43EAD6B2">
      <w:start w:val="1"/>
      <w:numFmt w:val="lowerRoman"/>
      <w:lvlText w:val="%6."/>
      <w:lvlJc w:val="right"/>
      <w:pPr>
        <w:ind w:left="4668" w:hanging="180"/>
      </w:pPr>
    </w:lvl>
    <w:lvl w:ilvl="6" w:tplc="EC0AD456">
      <w:start w:val="1"/>
      <w:numFmt w:val="decimal"/>
      <w:lvlText w:val="%7."/>
      <w:lvlJc w:val="left"/>
      <w:pPr>
        <w:ind w:left="5388" w:hanging="360"/>
      </w:pPr>
    </w:lvl>
    <w:lvl w:ilvl="7" w:tplc="A7CCD028">
      <w:start w:val="1"/>
      <w:numFmt w:val="lowerLetter"/>
      <w:lvlText w:val="%8."/>
      <w:lvlJc w:val="left"/>
      <w:pPr>
        <w:ind w:left="6108" w:hanging="360"/>
      </w:pPr>
    </w:lvl>
    <w:lvl w:ilvl="8" w:tplc="32902256">
      <w:start w:val="1"/>
      <w:numFmt w:val="lowerRoman"/>
      <w:lvlText w:val="%9."/>
      <w:lvlJc w:val="right"/>
      <w:pPr>
        <w:ind w:left="6828" w:hanging="180"/>
      </w:pPr>
    </w:lvl>
  </w:abstractNum>
  <w:num w:numId="1" w16cid:durableId="68698697">
    <w:abstractNumId w:val="0"/>
  </w:num>
  <w:num w:numId="2" w16cid:durableId="412044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0B"/>
    <w:rsid w:val="0000383F"/>
    <w:rsid w:val="00017179"/>
    <w:rsid w:val="000545C8"/>
    <w:rsid w:val="00060755"/>
    <w:rsid w:val="000633AC"/>
    <w:rsid w:val="000733B9"/>
    <w:rsid w:val="00080A02"/>
    <w:rsid w:val="00081AA5"/>
    <w:rsid w:val="000820A9"/>
    <w:rsid w:val="00085174"/>
    <w:rsid w:val="0009503A"/>
    <w:rsid w:val="00095FA7"/>
    <w:rsid w:val="000975E9"/>
    <w:rsid w:val="0009761D"/>
    <w:rsid w:val="000A0176"/>
    <w:rsid w:val="000B14ED"/>
    <w:rsid w:val="000B4E16"/>
    <w:rsid w:val="000D5DDE"/>
    <w:rsid w:val="000E0B8F"/>
    <w:rsid w:val="000E26DD"/>
    <w:rsid w:val="000E4783"/>
    <w:rsid w:val="000E69F2"/>
    <w:rsid w:val="000F3815"/>
    <w:rsid w:val="000F6B00"/>
    <w:rsid w:val="001017B7"/>
    <w:rsid w:val="00111DBA"/>
    <w:rsid w:val="00122632"/>
    <w:rsid w:val="001278D3"/>
    <w:rsid w:val="00133238"/>
    <w:rsid w:val="0015703E"/>
    <w:rsid w:val="0016442C"/>
    <w:rsid w:val="00166BFC"/>
    <w:rsid w:val="0017048D"/>
    <w:rsid w:val="00180853"/>
    <w:rsid w:val="001819EA"/>
    <w:rsid w:val="0018528B"/>
    <w:rsid w:val="001A12E8"/>
    <w:rsid w:val="001A4EB7"/>
    <w:rsid w:val="001B3A19"/>
    <w:rsid w:val="001B4897"/>
    <w:rsid w:val="001C3F0C"/>
    <w:rsid w:val="001D2810"/>
    <w:rsid w:val="001E3A85"/>
    <w:rsid w:val="001F139E"/>
    <w:rsid w:val="001F4EED"/>
    <w:rsid w:val="001F649F"/>
    <w:rsid w:val="001F6537"/>
    <w:rsid w:val="001F703A"/>
    <w:rsid w:val="001F7C2E"/>
    <w:rsid w:val="002035BF"/>
    <w:rsid w:val="00207168"/>
    <w:rsid w:val="002153CC"/>
    <w:rsid w:val="002176D1"/>
    <w:rsid w:val="00226EFF"/>
    <w:rsid w:val="00233F82"/>
    <w:rsid w:val="00235E6D"/>
    <w:rsid w:val="002405B3"/>
    <w:rsid w:val="00242FEC"/>
    <w:rsid w:val="00243D49"/>
    <w:rsid w:val="00250033"/>
    <w:rsid w:val="0026237F"/>
    <w:rsid w:val="002743B1"/>
    <w:rsid w:val="00275581"/>
    <w:rsid w:val="002874C0"/>
    <w:rsid w:val="00287E54"/>
    <w:rsid w:val="0029024F"/>
    <w:rsid w:val="002A17E6"/>
    <w:rsid w:val="002B2B43"/>
    <w:rsid w:val="002C113E"/>
    <w:rsid w:val="002C19B1"/>
    <w:rsid w:val="002E09FA"/>
    <w:rsid w:val="002E0E12"/>
    <w:rsid w:val="002E425E"/>
    <w:rsid w:val="002F4477"/>
    <w:rsid w:val="002F647F"/>
    <w:rsid w:val="002F7460"/>
    <w:rsid w:val="00311C11"/>
    <w:rsid w:val="00314E60"/>
    <w:rsid w:val="00320B0A"/>
    <w:rsid w:val="0032212B"/>
    <w:rsid w:val="003276B1"/>
    <w:rsid w:val="0033180D"/>
    <w:rsid w:val="00336626"/>
    <w:rsid w:val="00354BC2"/>
    <w:rsid w:val="00354FC6"/>
    <w:rsid w:val="00364641"/>
    <w:rsid w:val="00365AD1"/>
    <w:rsid w:val="00376CBB"/>
    <w:rsid w:val="0038215E"/>
    <w:rsid w:val="00383FF9"/>
    <w:rsid w:val="00385D2A"/>
    <w:rsid w:val="00395BF4"/>
    <w:rsid w:val="003A0316"/>
    <w:rsid w:val="003A07EA"/>
    <w:rsid w:val="003A1500"/>
    <w:rsid w:val="003A297F"/>
    <w:rsid w:val="003A74E2"/>
    <w:rsid w:val="003A759B"/>
    <w:rsid w:val="003B3166"/>
    <w:rsid w:val="003B32C8"/>
    <w:rsid w:val="003B4FB9"/>
    <w:rsid w:val="003B5E46"/>
    <w:rsid w:val="003B7C78"/>
    <w:rsid w:val="003C3796"/>
    <w:rsid w:val="003C3DDD"/>
    <w:rsid w:val="003D1AE4"/>
    <w:rsid w:val="003D4A4C"/>
    <w:rsid w:val="003F0BBC"/>
    <w:rsid w:val="003F337A"/>
    <w:rsid w:val="003F36B3"/>
    <w:rsid w:val="003F6BC4"/>
    <w:rsid w:val="003F6F06"/>
    <w:rsid w:val="004131FC"/>
    <w:rsid w:val="00420511"/>
    <w:rsid w:val="00427BB6"/>
    <w:rsid w:val="00436187"/>
    <w:rsid w:val="00440F73"/>
    <w:rsid w:val="0044183E"/>
    <w:rsid w:val="0045556F"/>
    <w:rsid w:val="00467117"/>
    <w:rsid w:val="00472427"/>
    <w:rsid w:val="0048307B"/>
    <w:rsid w:val="004A1CC1"/>
    <w:rsid w:val="004A41CB"/>
    <w:rsid w:val="004A4E5C"/>
    <w:rsid w:val="004B76E0"/>
    <w:rsid w:val="004C12D3"/>
    <w:rsid w:val="004C5EF4"/>
    <w:rsid w:val="004C7E95"/>
    <w:rsid w:val="004D49BF"/>
    <w:rsid w:val="004E1FFF"/>
    <w:rsid w:val="004E43FC"/>
    <w:rsid w:val="004E6E7E"/>
    <w:rsid w:val="005069B7"/>
    <w:rsid w:val="005106AD"/>
    <w:rsid w:val="0051306A"/>
    <w:rsid w:val="0051615A"/>
    <w:rsid w:val="005219F5"/>
    <w:rsid w:val="00522E0C"/>
    <w:rsid w:val="00524658"/>
    <w:rsid w:val="005329E4"/>
    <w:rsid w:val="005335E2"/>
    <w:rsid w:val="005343C1"/>
    <w:rsid w:val="0053751B"/>
    <w:rsid w:val="00543837"/>
    <w:rsid w:val="005447A1"/>
    <w:rsid w:val="005449B4"/>
    <w:rsid w:val="00554F3F"/>
    <w:rsid w:val="00555300"/>
    <w:rsid w:val="0057229C"/>
    <w:rsid w:val="00592F46"/>
    <w:rsid w:val="005A0FFA"/>
    <w:rsid w:val="005A2A60"/>
    <w:rsid w:val="005A5A2E"/>
    <w:rsid w:val="005A6FF5"/>
    <w:rsid w:val="005B083F"/>
    <w:rsid w:val="005B1E90"/>
    <w:rsid w:val="005C0DDC"/>
    <w:rsid w:val="005C6415"/>
    <w:rsid w:val="005E34A3"/>
    <w:rsid w:val="005E640A"/>
    <w:rsid w:val="005F49E0"/>
    <w:rsid w:val="00604B41"/>
    <w:rsid w:val="00617F00"/>
    <w:rsid w:val="00622925"/>
    <w:rsid w:val="00625438"/>
    <w:rsid w:val="00634AFB"/>
    <w:rsid w:val="00641F4A"/>
    <w:rsid w:val="006447A9"/>
    <w:rsid w:val="0064592E"/>
    <w:rsid w:val="00650BD1"/>
    <w:rsid w:val="00662005"/>
    <w:rsid w:val="00671FC4"/>
    <w:rsid w:val="0067415C"/>
    <w:rsid w:val="00693E96"/>
    <w:rsid w:val="00696A4D"/>
    <w:rsid w:val="006A4B37"/>
    <w:rsid w:val="006A63E1"/>
    <w:rsid w:val="006A65EF"/>
    <w:rsid w:val="006A6B69"/>
    <w:rsid w:val="006B70BB"/>
    <w:rsid w:val="006D35BE"/>
    <w:rsid w:val="006D37F6"/>
    <w:rsid w:val="006E22B0"/>
    <w:rsid w:val="0070501B"/>
    <w:rsid w:val="00711D41"/>
    <w:rsid w:val="00722146"/>
    <w:rsid w:val="00723F12"/>
    <w:rsid w:val="00724D2E"/>
    <w:rsid w:val="00724F00"/>
    <w:rsid w:val="007279F9"/>
    <w:rsid w:val="007300A8"/>
    <w:rsid w:val="00735286"/>
    <w:rsid w:val="00736EA5"/>
    <w:rsid w:val="007567E2"/>
    <w:rsid w:val="00756BF0"/>
    <w:rsid w:val="00757DF2"/>
    <w:rsid w:val="007650E5"/>
    <w:rsid w:val="007654BB"/>
    <w:rsid w:val="0078013C"/>
    <w:rsid w:val="00790317"/>
    <w:rsid w:val="007976B9"/>
    <w:rsid w:val="007B1EE9"/>
    <w:rsid w:val="007B31C6"/>
    <w:rsid w:val="007C2A85"/>
    <w:rsid w:val="007C764B"/>
    <w:rsid w:val="007D04B6"/>
    <w:rsid w:val="007D634E"/>
    <w:rsid w:val="007F7D0C"/>
    <w:rsid w:val="007F7E73"/>
    <w:rsid w:val="008077BA"/>
    <w:rsid w:val="00813754"/>
    <w:rsid w:val="00822A0B"/>
    <w:rsid w:val="00823616"/>
    <w:rsid w:val="008322A0"/>
    <w:rsid w:val="008336D1"/>
    <w:rsid w:val="008343EF"/>
    <w:rsid w:val="0083460B"/>
    <w:rsid w:val="008349FE"/>
    <w:rsid w:val="00845092"/>
    <w:rsid w:val="00855B30"/>
    <w:rsid w:val="00857870"/>
    <w:rsid w:val="00875255"/>
    <w:rsid w:val="0089158C"/>
    <w:rsid w:val="00892A75"/>
    <w:rsid w:val="008A11D1"/>
    <w:rsid w:val="008A247A"/>
    <w:rsid w:val="008A2B11"/>
    <w:rsid w:val="008B0CA5"/>
    <w:rsid w:val="008B54F1"/>
    <w:rsid w:val="008B5F1B"/>
    <w:rsid w:val="008C1CFF"/>
    <w:rsid w:val="008D4447"/>
    <w:rsid w:val="008D530B"/>
    <w:rsid w:val="008D646C"/>
    <w:rsid w:val="008E45B2"/>
    <w:rsid w:val="008F22FF"/>
    <w:rsid w:val="008F551F"/>
    <w:rsid w:val="009171C1"/>
    <w:rsid w:val="00927363"/>
    <w:rsid w:val="00937E57"/>
    <w:rsid w:val="00942C5A"/>
    <w:rsid w:val="00953E8B"/>
    <w:rsid w:val="0095458E"/>
    <w:rsid w:val="009770B4"/>
    <w:rsid w:val="009807EF"/>
    <w:rsid w:val="00981DA9"/>
    <w:rsid w:val="00983416"/>
    <w:rsid w:val="009A34A9"/>
    <w:rsid w:val="009A3831"/>
    <w:rsid w:val="009A64B7"/>
    <w:rsid w:val="009B178A"/>
    <w:rsid w:val="009C5436"/>
    <w:rsid w:val="009C655C"/>
    <w:rsid w:val="009D63D2"/>
    <w:rsid w:val="009E326C"/>
    <w:rsid w:val="009F5654"/>
    <w:rsid w:val="00A117C4"/>
    <w:rsid w:val="00A126F2"/>
    <w:rsid w:val="00A22F95"/>
    <w:rsid w:val="00A24478"/>
    <w:rsid w:val="00A251B7"/>
    <w:rsid w:val="00A35AAA"/>
    <w:rsid w:val="00A454E8"/>
    <w:rsid w:val="00A50DD5"/>
    <w:rsid w:val="00A520BA"/>
    <w:rsid w:val="00A53F42"/>
    <w:rsid w:val="00A545A4"/>
    <w:rsid w:val="00A567F9"/>
    <w:rsid w:val="00A60C67"/>
    <w:rsid w:val="00A673FF"/>
    <w:rsid w:val="00A804FE"/>
    <w:rsid w:val="00A8457F"/>
    <w:rsid w:val="00A976EA"/>
    <w:rsid w:val="00A979B9"/>
    <w:rsid w:val="00AA4848"/>
    <w:rsid w:val="00AB0B23"/>
    <w:rsid w:val="00AB1892"/>
    <w:rsid w:val="00AB3055"/>
    <w:rsid w:val="00AB3923"/>
    <w:rsid w:val="00AC5CB5"/>
    <w:rsid w:val="00AC648D"/>
    <w:rsid w:val="00AD08F4"/>
    <w:rsid w:val="00AD37FD"/>
    <w:rsid w:val="00AD6FAA"/>
    <w:rsid w:val="00AE272A"/>
    <w:rsid w:val="00AE5935"/>
    <w:rsid w:val="00B03489"/>
    <w:rsid w:val="00B06786"/>
    <w:rsid w:val="00B07340"/>
    <w:rsid w:val="00B07B8C"/>
    <w:rsid w:val="00B17D1E"/>
    <w:rsid w:val="00B201AE"/>
    <w:rsid w:val="00B2497F"/>
    <w:rsid w:val="00B4289C"/>
    <w:rsid w:val="00B430EE"/>
    <w:rsid w:val="00B53F70"/>
    <w:rsid w:val="00B55058"/>
    <w:rsid w:val="00B55FA3"/>
    <w:rsid w:val="00B56A81"/>
    <w:rsid w:val="00B64718"/>
    <w:rsid w:val="00B66CDC"/>
    <w:rsid w:val="00B94AD1"/>
    <w:rsid w:val="00BA143D"/>
    <w:rsid w:val="00BB11EF"/>
    <w:rsid w:val="00BB5DA7"/>
    <w:rsid w:val="00BC019C"/>
    <w:rsid w:val="00BC3CFE"/>
    <w:rsid w:val="00BD06A5"/>
    <w:rsid w:val="00BD199F"/>
    <w:rsid w:val="00BD5CFE"/>
    <w:rsid w:val="00BE1E39"/>
    <w:rsid w:val="00BF6894"/>
    <w:rsid w:val="00C01AAA"/>
    <w:rsid w:val="00C021D0"/>
    <w:rsid w:val="00C026FD"/>
    <w:rsid w:val="00C02F06"/>
    <w:rsid w:val="00C10D25"/>
    <w:rsid w:val="00C1358F"/>
    <w:rsid w:val="00C233B9"/>
    <w:rsid w:val="00C3110B"/>
    <w:rsid w:val="00C416B1"/>
    <w:rsid w:val="00C54E89"/>
    <w:rsid w:val="00C6301A"/>
    <w:rsid w:val="00C744C3"/>
    <w:rsid w:val="00C75FFC"/>
    <w:rsid w:val="00C769EB"/>
    <w:rsid w:val="00C77015"/>
    <w:rsid w:val="00C950E7"/>
    <w:rsid w:val="00CA1833"/>
    <w:rsid w:val="00CA3FF0"/>
    <w:rsid w:val="00CA4D6D"/>
    <w:rsid w:val="00CA670B"/>
    <w:rsid w:val="00CB1C1D"/>
    <w:rsid w:val="00CB32F9"/>
    <w:rsid w:val="00CC4B1D"/>
    <w:rsid w:val="00CC4D33"/>
    <w:rsid w:val="00CC7820"/>
    <w:rsid w:val="00CE41B5"/>
    <w:rsid w:val="00CE54A7"/>
    <w:rsid w:val="00CE5F43"/>
    <w:rsid w:val="00CF00AB"/>
    <w:rsid w:val="00CF0CCF"/>
    <w:rsid w:val="00CF3A24"/>
    <w:rsid w:val="00CF5B01"/>
    <w:rsid w:val="00D012AC"/>
    <w:rsid w:val="00D053A3"/>
    <w:rsid w:val="00D23CB6"/>
    <w:rsid w:val="00D35DF5"/>
    <w:rsid w:val="00D36B09"/>
    <w:rsid w:val="00D37130"/>
    <w:rsid w:val="00D4130C"/>
    <w:rsid w:val="00D416D0"/>
    <w:rsid w:val="00D55796"/>
    <w:rsid w:val="00D802E8"/>
    <w:rsid w:val="00D83414"/>
    <w:rsid w:val="00D95EC5"/>
    <w:rsid w:val="00D9670C"/>
    <w:rsid w:val="00DA6B2E"/>
    <w:rsid w:val="00DC0728"/>
    <w:rsid w:val="00DC1CFE"/>
    <w:rsid w:val="00DC4B9D"/>
    <w:rsid w:val="00DE056C"/>
    <w:rsid w:val="00DF0532"/>
    <w:rsid w:val="00DF6854"/>
    <w:rsid w:val="00E02853"/>
    <w:rsid w:val="00E02A98"/>
    <w:rsid w:val="00E14E07"/>
    <w:rsid w:val="00E1729E"/>
    <w:rsid w:val="00E2175D"/>
    <w:rsid w:val="00E2663B"/>
    <w:rsid w:val="00E346E2"/>
    <w:rsid w:val="00E44988"/>
    <w:rsid w:val="00E66215"/>
    <w:rsid w:val="00E755D9"/>
    <w:rsid w:val="00E77971"/>
    <w:rsid w:val="00E77B99"/>
    <w:rsid w:val="00E80D56"/>
    <w:rsid w:val="00E81E1B"/>
    <w:rsid w:val="00E83508"/>
    <w:rsid w:val="00E92721"/>
    <w:rsid w:val="00EA0CB9"/>
    <w:rsid w:val="00EA1133"/>
    <w:rsid w:val="00EA220C"/>
    <w:rsid w:val="00EB4A4B"/>
    <w:rsid w:val="00EB4F2F"/>
    <w:rsid w:val="00EC2FFA"/>
    <w:rsid w:val="00EC6D82"/>
    <w:rsid w:val="00ED4BA3"/>
    <w:rsid w:val="00EE0BA5"/>
    <w:rsid w:val="00EE6F09"/>
    <w:rsid w:val="00EE7342"/>
    <w:rsid w:val="00EF1E48"/>
    <w:rsid w:val="00EF21EE"/>
    <w:rsid w:val="00EF5356"/>
    <w:rsid w:val="00EF5E72"/>
    <w:rsid w:val="00F006E4"/>
    <w:rsid w:val="00F024BB"/>
    <w:rsid w:val="00F03626"/>
    <w:rsid w:val="00F148B1"/>
    <w:rsid w:val="00F14908"/>
    <w:rsid w:val="00F16AD9"/>
    <w:rsid w:val="00F3326C"/>
    <w:rsid w:val="00F334CB"/>
    <w:rsid w:val="00F357B5"/>
    <w:rsid w:val="00F35CA5"/>
    <w:rsid w:val="00F376F3"/>
    <w:rsid w:val="00F40AFC"/>
    <w:rsid w:val="00F52FF0"/>
    <w:rsid w:val="00F71DB6"/>
    <w:rsid w:val="00F73D7C"/>
    <w:rsid w:val="00F84620"/>
    <w:rsid w:val="00F93E6C"/>
    <w:rsid w:val="00FA396D"/>
    <w:rsid w:val="00FA5BDC"/>
    <w:rsid w:val="00FA6F34"/>
    <w:rsid w:val="00FB0BF6"/>
    <w:rsid w:val="00FB3557"/>
    <w:rsid w:val="00FC1CF4"/>
    <w:rsid w:val="00FD7A2E"/>
    <w:rsid w:val="00FE2DAD"/>
    <w:rsid w:val="00FE4531"/>
    <w:rsid w:val="00FE5D49"/>
    <w:rsid w:val="00FE60EA"/>
    <w:rsid w:val="00FF073F"/>
    <w:rsid w:val="00FF565C"/>
    <w:rsid w:val="00FF621A"/>
    <w:rsid w:val="1E8F074A"/>
    <w:rsid w:val="3E6B2B19"/>
    <w:rsid w:val="46D65B6F"/>
    <w:rsid w:val="4D170FF4"/>
    <w:rsid w:val="51BD63E9"/>
    <w:rsid w:val="58920E5F"/>
    <w:rsid w:val="63F60E79"/>
    <w:rsid w:val="7275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12B8"/>
  <w15:docId w15:val="{E55334E7-9779-4C1E-9068-261013C7C40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zh-CN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nhideWhenUsed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2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  <w:rPr>
      <w:rFonts w:eastAsia="Calibri"/>
      <w:lang w:eastAsia="en-US"/>
    </w:rPr>
  </w:style>
  <w:style w:type="character" w:customStyle="1" w:styleId="af4">
    <w:name w:val="Абзац списка Знак"/>
    <w:link w:val="af3"/>
    <w:uiPriority w:val="34"/>
    <w:qFormat/>
    <w:locked/>
    <w:rPr>
      <w:rFonts w:ascii="Calibri" w:eastAsia="Calibri" w:hAnsi="Calibri" w:cs="Times New Roman"/>
    </w:rPr>
  </w:style>
  <w:style w:type="character" w:customStyle="1" w:styleId="s20">
    <w:name w:val="s20"/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color w:val="4F81BD"/>
      <w:sz w:val="20"/>
      <w:szCs w:val="20"/>
      <w:lang w:val="zh-CN" w:eastAsia="zh-CN"/>
    </w:rPr>
  </w:style>
  <w:style w:type="paragraph" w:styleId="af5">
    <w:name w:val="No Spacing"/>
    <w:link w:val="af6"/>
    <w:uiPriority w:val="1"/>
    <w:qFormat/>
    <w:pPr>
      <w:suppressAutoHyphens/>
    </w:pPr>
    <w:rPr>
      <w:rFonts w:ascii="Calibri" w:eastAsia="Calibri" w:hAnsi="Calibri" w:cs="Times New Roman"/>
      <w:sz w:val="22"/>
      <w:szCs w:val="22"/>
      <w:lang w:val="ru-RU" w:eastAsia="ar-SA"/>
    </w:rPr>
  </w:style>
  <w:style w:type="character" w:customStyle="1" w:styleId="af6">
    <w:name w:val="Без интервала Знак"/>
    <w:link w:val="af5"/>
    <w:uiPriority w:val="1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Pr>
      <w:rFonts w:ascii="Calibri" w:eastAsia="Times New Roman" w:hAnsi="Calibri" w:cs="Times New Roman"/>
      <w:lang w:eastAsia="ru-RU"/>
    </w:rPr>
  </w:style>
  <w:style w:type="character" w:customStyle="1" w:styleId="a8">
    <w:name w:val="Текст Знак"/>
    <w:basedOn w:val="a0"/>
    <w:link w:val="a7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b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Без интервала1"/>
    <w:rsid w:val="00C021D0"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f7">
    <w:name w:val="Unresolved Mention"/>
    <w:basedOn w:val="a0"/>
    <w:uiPriority w:val="99"/>
    <w:semiHidden/>
    <w:unhideWhenUsed/>
    <w:rsid w:val="00A54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70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2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8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9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2.188/kaz/docs/K250000021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924" Type="http://schemas.openxmlformats.org/officeDocument/2006/relationships/image" Target="media/image924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5C028-DDBC-4299-AEE7-E17A734C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3487</TotalTime>
  <Pages>12</Pages>
  <Words>2514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Ерканат Шынберген</dc:creator>
  <cp:keywords/>
  <dc:description/>
  <cp:lastModifiedBy>Көптілеуұлы Ерсайын</cp:lastModifiedBy>
  <cp:revision>24</cp:revision>
  <cp:lastPrinted>2026-01-13T11:21:00Z</cp:lastPrinted>
  <dcterms:created xsi:type="dcterms:W3CDTF">2024-01-13T05:24:00Z</dcterms:created>
  <dcterms:modified xsi:type="dcterms:W3CDTF">2026-02-09T05:54:00Z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126DC7C679C14072A7C136EA5CE1E76A_12</vt:lpwstr>
  </property>
</Properties>
</file>